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25E66A" w14:textId="77777777" w:rsidR="005B753E" w:rsidRPr="005B753E" w:rsidRDefault="005B753E" w:rsidP="005B753E">
      <w:pPr>
        <w:shd w:val="clear" w:color="auto" w:fill="FFFFFF"/>
        <w:spacing w:after="375" w:line="270" w:lineRule="atLeast"/>
        <w:ind w:left="0"/>
        <w:rPr>
          <w:rFonts w:ascii="Open Sans" w:eastAsia="Times New Roman" w:hAnsi="Open Sans" w:cs="Open Sans"/>
          <w:b/>
          <w:bCs/>
          <w:color w:val="548DD4"/>
          <w:spacing w:val="7"/>
          <w:sz w:val="24"/>
          <w:szCs w:val="24"/>
          <w:lang w:eastAsia="it-IT"/>
        </w:rPr>
      </w:pPr>
      <w:bookmarkStart w:id="0" w:name="_Hlk83196558"/>
      <w:r w:rsidRPr="005B753E">
        <w:rPr>
          <w:rFonts w:ascii="Open Sans" w:eastAsia="Times New Roman" w:hAnsi="Open Sans" w:cs="Open Sans"/>
          <w:b/>
          <w:bCs/>
          <w:color w:val="548DD4"/>
          <w:spacing w:val="7"/>
          <w:sz w:val="24"/>
          <w:szCs w:val="24"/>
          <w:lang w:eastAsia="it-IT"/>
        </w:rPr>
        <w:t>Integrazione al reddito per lavoratrici madri con due o più figli – c.d. “NUOVO BONUS MAMME”</w:t>
      </w:r>
    </w:p>
    <w:p w14:paraId="2B055045" w14:textId="77777777" w:rsidR="005B753E" w:rsidRPr="005B753E" w:rsidRDefault="005B753E" w:rsidP="005B753E">
      <w:pPr>
        <w:shd w:val="clear" w:color="auto" w:fill="FFFFFF"/>
        <w:spacing w:after="375" w:line="270" w:lineRule="atLeast"/>
        <w:ind w:left="0"/>
        <w:rPr>
          <w:rFonts w:ascii="Open Sans" w:eastAsia="Times New Roman" w:hAnsi="Open Sans" w:cs="Open Sans"/>
          <w:strike/>
          <w:spacing w:val="7"/>
          <w:lang w:eastAsia="it-IT"/>
        </w:rPr>
      </w:pPr>
      <w:r w:rsidRPr="005B753E">
        <w:rPr>
          <w:rFonts w:ascii="Open Sans" w:eastAsia="Times New Roman" w:hAnsi="Open Sans" w:cs="Open Sans"/>
          <w:spacing w:val="7"/>
          <w:lang w:eastAsia="it-IT"/>
        </w:rPr>
        <w:t>Vi comunichiamo che con la </w:t>
      </w:r>
      <w:hyperlink r:id="rId11" w:tgtFrame="_blank" w:history="1">
        <w:r w:rsidRPr="005B753E">
          <w:rPr>
            <w:rFonts w:ascii="Open Sans" w:eastAsia="Times New Roman" w:hAnsi="Open Sans" w:cs="Open Sans"/>
            <w:spacing w:val="7"/>
            <w:lang w:eastAsia="it-IT"/>
          </w:rPr>
          <w:t>circolare n.139 del 28 ottobre 2025</w:t>
        </w:r>
      </w:hyperlink>
      <w:r w:rsidRPr="005B753E">
        <w:rPr>
          <w:rFonts w:ascii="Open Sans" w:eastAsia="Times New Roman" w:hAnsi="Open Sans" w:cs="Open Sans"/>
          <w:spacing w:val="7"/>
          <w:lang w:eastAsia="it-IT"/>
        </w:rPr>
        <w:t>, l’Inps ha comunicato le modalità di erogazione del “</w:t>
      </w:r>
      <w:r w:rsidRPr="005B753E">
        <w:rPr>
          <w:rFonts w:ascii="Open Sans" w:eastAsia="Times New Roman" w:hAnsi="Open Sans" w:cs="Open Sans"/>
          <w:b/>
          <w:bCs/>
          <w:spacing w:val="7"/>
          <w:lang w:eastAsia="it-IT"/>
        </w:rPr>
        <w:t>nuovo bonus mamme</w:t>
      </w:r>
      <w:r w:rsidRPr="005B753E">
        <w:rPr>
          <w:rFonts w:ascii="Open Sans" w:eastAsia="Times New Roman" w:hAnsi="Open Sans" w:cs="Open Sans"/>
          <w:spacing w:val="7"/>
          <w:lang w:eastAsia="it-IT"/>
        </w:rPr>
        <w:t>” di cui al </w:t>
      </w:r>
      <w:hyperlink r:id="rId12" w:tgtFrame="_blank" w:history="1">
        <w:r w:rsidRPr="005B753E">
          <w:rPr>
            <w:rFonts w:ascii="Open Sans" w:eastAsia="Times New Roman" w:hAnsi="Open Sans" w:cs="Open Sans"/>
            <w:spacing w:val="7"/>
            <w:lang w:eastAsia="it-IT"/>
          </w:rPr>
          <w:t>DL n. 95/2025</w:t>
        </w:r>
      </w:hyperlink>
      <w:r w:rsidRPr="005B753E">
        <w:rPr>
          <w:rFonts w:ascii="Open Sans" w:eastAsia="Times New Roman" w:hAnsi="Open Sans" w:cs="Open Sans"/>
          <w:spacing w:val="7"/>
          <w:lang w:eastAsia="it-IT"/>
        </w:rPr>
        <w:t>.</w:t>
      </w:r>
    </w:p>
    <w:p w14:paraId="05E51FCA" w14:textId="77777777" w:rsidR="005B753E" w:rsidRPr="005B753E" w:rsidRDefault="005B753E" w:rsidP="005B753E">
      <w:pPr>
        <w:shd w:val="clear" w:color="auto" w:fill="FFFFFF"/>
        <w:spacing w:after="375" w:line="270" w:lineRule="atLeast"/>
        <w:ind w:left="0"/>
        <w:rPr>
          <w:rFonts w:ascii="Open Sans" w:eastAsia="Times New Roman" w:hAnsi="Open Sans" w:cs="Open Sans"/>
          <w:b/>
          <w:bCs/>
          <w:spacing w:val="7"/>
          <w:lang w:eastAsia="it-IT"/>
        </w:rPr>
      </w:pPr>
      <w:r w:rsidRPr="005B753E">
        <w:rPr>
          <w:rFonts w:ascii="Open Sans" w:eastAsia="Times New Roman" w:hAnsi="Open Sans" w:cs="Open Sans"/>
          <w:b/>
          <w:bCs/>
          <w:spacing w:val="7"/>
          <w:lang w:eastAsia="it-IT"/>
        </w:rPr>
        <w:t xml:space="preserve">La misura prevede un’integrazione al reddito pari a 40 euro mensili per ciascun mese di attività lavorativa svolta nel 2025, destinata alle </w:t>
      </w:r>
      <w:r w:rsidRPr="005B753E">
        <w:rPr>
          <w:rFonts w:ascii="Open Sans" w:eastAsia="Times New Roman" w:hAnsi="Open Sans" w:cs="Open Sans"/>
          <w:b/>
          <w:bCs/>
          <w:spacing w:val="7"/>
          <w:u w:val="single"/>
          <w:lang w:eastAsia="it-IT"/>
        </w:rPr>
        <w:t>lavoratrici madri con almeno due figli e reddito da lavoro non superiore a 40.000 euro annui</w:t>
      </w:r>
      <w:r w:rsidRPr="005B753E">
        <w:rPr>
          <w:rFonts w:ascii="Open Sans" w:eastAsia="Times New Roman" w:hAnsi="Open Sans" w:cs="Open Sans"/>
          <w:b/>
          <w:bCs/>
          <w:spacing w:val="7"/>
          <w:lang w:eastAsia="it-IT"/>
        </w:rPr>
        <w:t>. Il bonus spetta sia alle lavoratrici dipendenti (pubbliche e private, escluse le domestiche) che alle lavoratrici autonome iscritte a gestioni previdenziali obbligatorie o casse professionali. Le domande devono essere presentate entro 40 giorni dalla data di pubblicazione della </w:t>
      </w:r>
      <w:hyperlink r:id="rId13" w:tgtFrame="_blank" w:tooltip="circolare n. 139 del 28 ottobre 2025" w:history="1">
        <w:r w:rsidRPr="005B753E">
          <w:rPr>
            <w:rFonts w:ascii="Open Sans" w:eastAsia="Times New Roman" w:hAnsi="Open Sans" w:cs="Open Sans"/>
            <w:b/>
            <w:bCs/>
            <w:spacing w:val="7"/>
            <w:lang w:eastAsia="it-IT"/>
          </w:rPr>
          <w:t>circolare n. 139 del 28 ottobre 2025</w:t>
        </w:r>
      </w:hyperlink>
      <w:r w:rsidRPr="005B753E">
        <w:rPr>
          <w:rFonts w:ascii="Open Sans" w:eastAsia="Times New Roman" w:hAnsi="Open Sans" w:cs="Open Sans"/>
          <w:b/>
          <w:bCs/>
          <w:spacing w:val="7"/>
          <w:lang w:eastAsia="it-IT"/>
        </w:rPr>
        <w:t>.</w:t>
      </w:r>
    </w:p>
    <w:p w14:paraId="42014F1E" w14:textId="77777777" w:rsidR="005B753E" w:rsidRPr="005B753E" w:rsidRDefault="005B753E" w:rsidP="00867A52">
      <w:pPr>
        <w:shd w:val="clear" w:color="auto" w:fill="FFFFFF"/>
        <w:spacing w:line="270" w:lineRule="atLeast"/>
        <w:ind w:left="0"/>
        <w:rPr>
          <w:rFonts w:ascii="Open Sans" w:eastAsia="Times New Roman" w:hAnsi="Open Sans" w:cs="Open Sans"/>
          <w:b/>
          <w:bCs/>
          <w:spacing w:val="7"/>
          <w:lang w:eastAsia="it-IT"/>
        </w:rPr>
      </w:pPr>
      <w:r w:rsidRPr="005B753E">
        <w:rPr>
          <w:rFonts w:ascii="Open Sans" w:eastAsia="Times New Roman" w:hAnsi="Open Sans" w:cs="Open Sans"/>
          <w:b/>
          <w:bCs/>
          <w:spacing w:val="7"/>
          <w:lang w:eastAsia="it-IT"/>
        </w:rPr>
        <w:t>Quali sono i caratteri della misura?</w:t>
      </w:r>
    </w:p>
    <w:p w14:paraId="4744F75B" w14:textId="77777777" w:rsidR="005B753E" w:rsidRPr="005B753E" w:rsidRDefault="005B753E" w:rsidP="005B753E">
      <w:pPr>
        <w:shd w:val="clear" w:color="auto" w:fill="FFFFFF"/>
        <w:spacing w:after="375" w:line="270" w:lineRule="atLeast"/>
        <w:ind w:left="0"/>
        <w:rPr>
          <w:rFonts w:ascii="Open Sans" w:eastAsia="Times New Roman" w:hAnsi="Open Sans" w:cs="Open Sans"/>
          <w:spacing w:val="7"/>
          <w:lang w:eastAsia="it-IT"/>
        </w:rPr>
      </w:pPr>
      <w:r w:rsidRPr="005B753E">
        <w:rPr>
          <w:rFonts w:ascii="Open Sans" w:eastAsia="Times New Roman" w:hAnsi="Open Sans" w:cs="Open Sans"/>
          <w:spacing w:val="7"/>
          <w:lang w:eastAsia="it-IT"/>
        </w:rPr>
        <w:t xml:space="preserve">Il bonus è una misura di sostegno riconosciuto alle lavoratrici che nel 2025 risultino </w:t>
      </w:r>
      <w:r w:rsidRPr="005B753E">
        <w:rPr>
          <w:rFonts w:ascii="Open Sans" w:eastAsia="Times New Roman" w:hAnsi="Open Sans" w:cs="Open Sans"/>
          <w:spacing w:val="7"/>
          <w:u w:val="single"/>
          <w:lang w:eastAsia="it-IT"/>
        </w:rPr>
        <w:t>madri di almeno due figli</w:t>
      </w:r>
      <w:r w:rsidRPr="005B753E">
        <w:rPr>
          <w:rFonts w:ascii="Open Sans" w:eastAsia="Times New Roman" w:hAnsi="Open Sans" w:cs="Open Sans"/>
          <w:spacing w:val="7"/>
          <w:lang w:eastAsia="it-IT"/>
        </w:rPr>
        <w:t xml:space="preserve"> e che percepiscano un reddito da lavoro non superiore a 40.000 euro annui.</w:t>
      </w:r>
    </w:p>
    <w:p w14:paraId="3BD24682" w14:textId="77777777" w:rsidR="005B753E" w:rsidRPr="005B753E" w:rsidRDefault="005B753E" w:rsidP="005B753E">
      <w:pPr>
        <w:shd w:val="clear" w:color="auto" w:fill="FFFFFF"/>
        <w:spacing w:after="375" w:line="270" w:lineRule="atLeast"/>
        <w:ind w:left="0"/>
        <w:rPr>
          <w:rFonts w:ascii="Open Sans" w:eastAsia="Times New Roman" w:hAnsi="Open Sans" w:cs="Open Sans"/>
          <w:spacing w:val="7"/>
          <w:lang w:eastAsia="it-IT"/>
        </w:rPr>
      </w:pPr>
      <w:r w:rsidRPr="005B753E">
        <w:rPr>
          <w:rFonts w:ascii="Open Sans" w:eastAsia="Times New Roman" w:hAnsi="Open Sans" w:cs="Open Sans"/>
          <w:spacing w:val="7"/>
          <w:u w:val="single"/>
          <w:lang w:eastAsia="it-IT"/>
        </w:rPr>
        <w:t>Per le madri con tre o più figli</w:t>
      </w:r>
      <w:r w:rsidRPr="005B753E">
        <w:rPr>
          <w:rFonts w:ascii="Open Sans" w:eastAsia="Times New Roman" w:hAnsi="Open Sans" w:cs="Open Sans"/>
          <w:spacing w:val="7"/>
          <w:lang w:eastAsia="it-IT"/>
        </w:rPr>
        <w:t xml:space="preserve"> il beneficio è riconosciuto </w:t>
      </w:r>
      <w:r w:rsidRPr="005B753E">
        <w:rPr>
          <w:rFonts w:ascii="Open Sans" w:eastAsia="Times New Roman" w:hAnsi="Open Sans" w:cs="Open Sans"/>
          <w:spacing w:val="7"/>
          <w:u w:val="single"/>
          <w:lang w:eastAsia="it-IT"/>
        </w:rPr>
        <w:t>solo nei mesi in cui è in essere un rapporto a tempo determinato</w:t>
      </w:r>
      <w:r w:rsidRPr="005B753E">
        <w:rPr>
          <w:rFonts w:ascii="Open Sans" w:eastAsia="Times New Roman" w:hAnsi="Open Sans" w:cs="Open Sans"/>
          <w:spacing w:val="7"/>
          <w:lang w:eastAsia="it-IT"/>
        </w:rPr>
        <w:t xml:space="preserve">. In quanto se il rapporto è a tempo indeterminato o si trasforma a tempo indeterminato, in questi casi si continua ad applicare l’esonero totale dei contributi previdenziali introdotto dalla legge di bilancio 2024.  </w:t>
      </w:r>
    </w:p>
    <w:p w14:paraId="163A48D7" w14:textId="77777777" w:rsidR="005A3D41" w:rsidRPr="008271E4" w:rsidRDefault="005B753E" w:rsidP="005A3D41">
      <w:pPr>
        <w:shd w:val="clear" w:color="auto" w:fill="FFFFFF"/>
        <w:spacing w:line="270" w:lineRule="atLeast"/>
        <w:ind w:left="0"/>
        <w:rPr>
          <w:rFonts w:ascii="Open Sans" w:eastAsia="Times New Roman" w:hAnsi="Open Sans" w:cs="Open Sans"/>
          <w:b/>
          <w:bCs/>
          <w:spacing w:val="7"/>
          <w:lang w:eastAsia="it-IT"/>
        </w:rPr>
      </w:pPr>
      <w:r w:rsidRPr="005B753E">
        <w:rPr>
          <w:rFonts w:ascii="Open Sans" w:eastAsia="Times New Roman" w:hAnsi="Open Sans" w:cs="Open Sans"/>
          <w:b/>
          <w:bCs/>
          <w:spacing w:val="7"/>
          <w:lang w:eastAsia="it-IT"/>
        </w:rPr>
        <w:t>Benefici e requisiti dell’accesso</w:t>
      </w:r>
    </w:p>
    <w:p w14:paraId="3363E724" w14:textId="7AF14D95" w:rsidR="005B753E" w:rsidRPr="008271E4" w:rsidRDefault="005B753E" w:rsidP="005A3D41">
      <w:pPr>
        <w:shd w:val="clear" w:color="auto" w:fill="FFFFFF"/>
        <w:spacing w:line="270" w:lineRule="atLeast"/>
        <w:ind w:left="0"/>
        <w:rPr>
          <w:rFonts w:ascii="Open Sans" w:eastAsia="Times New Roman" w:hAnsi="Open Sans" w:cs="Open Sans"/>
          <w:spacing w:val="7"/>
          <w:lang w:eastAsia="it-IT"/>
        </w:rPr>
      </w:pPr>
      <w:r w:rsidRPr="005B753E">
        <w:rPr>
          <w:rFonts w:ascii="Open Sans" w:eastAsia="Times New Roman" w:hAnsi="Open Sans" w:cs="Open Sans"/>
          <w:spacing w:val="7"/>
          <w:lang w:eastAsia="it-IT"/>
        </w:rPr>
        <w:t>Posso richiedere il bonus:</w:t>
      </w:r>
    </w:p>
    <w:p w14:paraId="7CA069C0" w14:textId="77777777" w:rsidR="005A3D41" w:rsidRPr="005B753E" w:rsidRDefault="005A3D41" w:rsidP="005A3D41">
      <w:pPr>
        <w:shd w:val="clear" w:color="auto" w:fill="FFFFFF"/>
        <w:spacing w:line="270" w:lineRule="atLeast"/>
        <w:ind w:left="0"/>
        <w:rPr>
          <w:rFonts w:ascii="Open Sans" w:eastAsia="Times New Roman" w:hAnsi="Open Sans" w:cs="Open Sans"/>
          <w:b/>
          <w:bCs/>
          <w:spacing w:val="7"/>
          <w:lang w:eastAsia="it-IT"/>
        </w:rPr>
      </w:pPr>
    </w:p>
    <w:p w14:paraId="1AA71AA2" w14:textId="77777777" w:rsidR="005B753E" w:rsidRPr="005B753E" w:rsidRDefault="005B753E" w:rsidP="005B753E">
      <w:pPr>
        <w:numPr>
          <w:ilvl w:val="0"/>
          <w:numId w:val="19"/>
        </w:numPr>
        <w:shd w:val="clear" w:color="auto" w:fill="FFFFFF"/>
        <w:spacing w:after="375" w:line="270" w:lineRule="atLeast"/>
        <w:contextualSpacing/>
        <w:rPr>
          <w:rFonts w:ascii="Open Sans" w:eastAsia="Times New Roman" w:hAnsi="Open Sans" w:cs="Open Sans"/>
          <w:spacing w:val="7"/>
          <w:lang w:eastAsia="it-IT"/>
        </w:rPr>
      </w:pPr>
      <w:r w:rsidRPr="005B753E">
        <w:rPr>
          <w:rFonts w:ascii="Open Sans" w:eastAsia="Times New Roman" w:hAnsi="Open Sans" w:cs="Open Sans"/>
          <w:spacing w:val="7"/>
          <w:lang w:eastAsia="it-IT"/>
        </w:rPr>
        <w:t>le lavoratrici dipendenti, pubbliche e private, escluse le lavoratrici domestiche;</w:t>
      </w:r>
    </w:p>
    <w:p w14:paraId="17B5886E" w14:textId="77777777" w:rsidR="005B753E" w:rsidRPr="005B753E" w:rsidRDefault="005B753E" w:rsidP="005B753E">
      <w:pPr>
        <w:numPr>
          <w:ilvl w:val="0"/>
          <w:numId w:val="19"/>
        </w:numPr>
        <w:shd w:val="clear" w:color="auto" w:fill="FFFFFF"/>
        <w:spacing w:after="375" w:line="270" w:lineRule="atLeast"/>
        <w:contextualSpacing/>
        <w:rPr>
          <w:rFonts w:ascii="Open Sans" w:eastAsia="Times New Roman" w:hAnsi="Open Sans" w:cs="Open Sans"/>
          <w:spacing w:val="7"/>
          <w:lang w:eastAsia="it-IT"/>
        </w:rPr>
      </w:pPr>
      <w:r w:rsidRPr="005B753E">
        <w:rPr>
          <w:rFonts w:ascii="Open Sans" w:eastAsia="Times New Roman" w:hAnsi="Open Sans" w:cs="Open Sans"/>
          <w:spacing w:val="7"/>
          <w:lang w:eastAsia="it-IT"/>
        </w:rPr>
        <w:t>le lavoratrici autonome iscritte alle gestioni previdenziali obbligatorie (comprese le casse professionali e la Gestione separata);</w:t>
      </w:r>
    </w:p>
    <w:p w14:paraId="2A3F93B1" w14:textId="77777777" w:rsidR="005B753E" w:rsidRPr="005B753E" w:rsidRDefault="005B753E" w:rsidP="005B753E">
      <w:pPr>
        <w:shd w:val="clear" w:color="auto" w:fill="FFFFFF"/>
        <w:spacing w:after="375" w:line="270" w:lineRule="atLeast"/>
        <w:ind w:left="360"/>
        <w:rPr>
          <w:rFonts w:ascii="Open Sans" w:eastAsia="Times New Roman" w:hAnsi="Open Sans" w:cs="Open Sans"/>
          <w:spacing w:val="7"/>
          <w:lang w:eastAsia="it-IT"/>
        </w:rPr>
      </w:pPr>
      <w:r w:rsidRPr="005B753E">
        <w:rPr>
          <w:rFonts w:ascii="Open Sans" w:eastAsia="Times New Roman" w:hAnsi="Open Sans" w:cs="Open Sans"/>
          <w:spacing w:val="7"/>
          <w:lang w:eastAsia="it-IT"/>
        </w:rPr>
        <w:t>a condizione che, alla data del 1° gennaio 2025, o entro il 31 dicembre 2025, abbiano almeno due figli (naturali, adottivi o in affidamento preadottivo) e:</w:t>
      </w:r>
    </w:p>
    <w:p w14:paraId="6411BBD3" w14:textId="77777777" w:rsidR="005B753E" w:rsidRPr="005B753E" w:rsidRDefault="005B753E" w:rsidP="005B753E">
      <w:pPr>
        <w:numPr>
          <w:ilvl w:val="0"/>
          <w:numId w:val="19"/>
        </w:numPr>
        <w:shd w:val="clear" w:color="auto" w:fill="FFFFFF"/>
        <w:spacing w:after="375" w:line="270" w:lineRule="atLeast"/>
        <w:contextualSpacing/>
        <w:rPr>
          <w:rFonts w:ascii="Open Sans" w:eastAsia="Times New Roman" w:hAnsi="Open Sans" w:cs="Open Sans"/>
          <w:spacing w:val="7"/>
          <w:u w:val="single"/>
          <w:lang w:eastAsia="it-IT"/>
        </w:rPr>
      </w:pPr>
      <w:r w:rsidRPr="005B753E">
        <w:rPr>
          <w:rFonts w:ascii="Open Sans" w:eastAsia="Times New Roman" w:hAnsi="Open Sans" w:cs="Open Sans"/>
          <w:spacing w:val="7"/>
          <w:lang w:eastAsia="it-IT"/>
        </w:rPr>
        <w:t xml:space="preserve">per le madri con due figli, </w:t>
      </w:r>
      <w:r w:rsidRPr="005B753E">
        <w:rPr>
          <w:rFonts w:ascii="Open Sans" w:eastAsia="Times New Roman" w:hAnsi="Open Sans" w:cs="Open Sans"/>
          <w:spacing w:val="7"/>
          <w:u w:val="single"/>
          <w:lang w:eastAsia="it-IT"/>
        </w:rPr>
        <w:t>il più piccolo deve avere meno di 10 anni;</w:t>
      </w:r>
    </w:p>
    <w:p w14:paraId="175F7548" w14:textId="77777777" w:rsidR="005B753E" w:rsidRPr="005B753E" w:rsidRDefault="005B753E" w:rsidP="005B753E">
      <w:pPr>
        <w:numPr>
          <w:ilvl w:val="0"/>
          <w:numId w:val="19"/>
        </w:numPr>
        <w:shd w:val="clear" w:color="auto" w:fill="FFFFFF"/>
        <w:spacing w:after="375" w:line="270" w:lineRule="atLeast"/>
        <w:contextualSpacing/>
        <w:rPr>
          <w:rFonts w:ascii="Open Sans" w:eastAsia="Times New Roman" w:hAnsi="Open Sans" w:cs="Open Sans"/>
          <w:spacing w:val="7"/>
          <w:lang w:eastAsia="it-IT"/>
        </w:rPr>
      </w:pPr>
      <w:r w:rsidRPr="005B753E">
        <w:rPr>
          <w:rFonts w:ascii="Open Sans" w:eastAsia="Times New Roman" w:hAnsi="Open Sans" w:cs="Open Sans"/>
          <w:spacing w:val="7"/>
          <w:lang w:eastAsia="it-IT"/>
        </w:rPr>
        <w:t xml:space="preserve">per le madri con tre o più figli, </w:t>
      </w:r>
      <w:r w:rsidRPr="005B753E">
        <w:rPr>
          <w:rFonts w:ascii="Open Sans" w:eastAsia="Times New Roman" w:hAnsi="Open Sans" w:cs="Open Sans"/>
          <w:spacing w:val="7"/>
          <w:u w:val="single"/>
          <w:lang w:eastAsia="it-IT"/>
        </w:rPr>
        <w:t>il più piccolo deve avere meno di 18 anni</w:t>
      </w:r>
      <w:r w:rsidRPr="005B753E">
        <w:rPr>
          <w:rFonts w:ascii="Open Sans" w:eastAsia="Times New Roman" w:hAnsi="Open Sans" w:cs="Open Sans"/>
          <w:spacing w:val="7"/>
          <w:lang w:eastAsia="it-IT"/>
        </w:rPr>
        <w:t>.</w:t>
      </w:r>
    </w:p>
    <w:p w14:paraId="442306A6" w14:textId="77777777" w:rsidR="005B753E" w:rsidRPr="005B753E" w:rsidRDefault="005B753E" w:rsidP="005B753E">
      <w:pPr>
        <w:shd w:val="clear" w:color="auto" w:fill="FFFFFF"/>
        <w:spacing w:after="375" w:line="270" w:lineRule="atLeast"/>
        <w:ind w:left="360"/>
        <w:rPr>
          <w:rFonts w:ascii="Open Sans" w:eastAsia="Times New Roman" w:hAnsi="Open Sans" w:cs="Open Sans"/>
          <w:spacing w:val="7"/>
          <w:lang w:eastAsia="it-IT"/>
        </w:rPr>
      </w:pPr>
      <w:r w:rsidRPr="005B753E">
        <w:rPr>
          <w:rFonts w:ascii="Open Sans" w:eastAsia="Times New Roman" w:hAnsi="Open Sans" w:cs="Open Sans"/>
          <w:spacing w:val="7"/>
          <w:lang w:eastAsia="it-IT"/>
        </w:rPr>
        <w:t>Il diritto decorre dal mese in cui si perfezionano i requisiti familiari e si estingue al compimento del limite d’età previsto per il figlio minore.</w:t>
      </w:r>
    </w:p>
    <w:p w14:paraId="0EC2F0B0" w14:textId="77777777" w:rsidR="005B753E" w:rsidRPr="005B753E" w:rsidRDefault="005B753E" w:rsidP="005B753E">
      <w:pPr>
        <w:shd w:val="clear" w:color="auto" w:fill="FFFFFF"/>
        <w:spacing w:after="375" w:line="270" w:lineRule="atLeast"/>
        <w:ind w:left="360"/>
        <w:rPr>
          <w:rFonts w:ascii="Open Sans" w:eastAsia="Times New Roman" w:hAnsi="Open Sans" w:cs="Open Sans"/>
          <w:spacing w:val="7"/>
          <w:lang w:eastAsia="it-IT"/>
        </w:rPr>
      </w:pPr>
      <w:r w:rsidRPr="005B753E">
        <w:rPr>
          <w:rFonts w:ascii="Open Sans" w:eastAsia="Times New Roman" w:hAnsi="Open Sans" w:cs="Open Sans"/>
          <w:spacing w:val="7"/>
          <w:u w:val="single"/>
          <w:lang w:eastAsia="it-IT"/>
        </w:rPr>
        <w:t>Sono esclusi i periodi di sospensione del rapporto di lavoro</w:t>
      </w:r>
      <w:r w:rsidRPr="005B753E">
        <w:rPr>
          <w:rFonts w:ascii="Open Sans" w:eastAsia="Times New Roman" w:hAnsi="Open Sans" w:cs="Open Sans"/>
          <w:spacing w:val="7"/>
          <w:lang w:eastAsia="it-IT"/>
        </w:rPr>
        <w:t xml:space="preserve">, mentre per le lavoratrici autonome il bonus spetta per i mesi di iscrizione alla gestione previdenziale di </w:t>
      </w:r>
      <w:r w:rsidRPr="005B753E">
        <w:rPr>
          <w:rFonts w:ascii="Open Sans" w:eastAsia="Times New Roman" w:hAnsi="Open Sans" w:cs="Open Sans"/>
          <w:spacing w:val="7"/>
          <w:lang w:eastAsia="it-IT"/>
        </w:rPr>
        <w:lastRenderedPageBreak/>
        <w:t>riferimento. Le lavoratrici titolari di cariche sociali o non iscritte all’assicurazione generale obbligatoria non possono accedere al beneficio.</w:t>
      </w:r>
    </w:p>
    <w:p w14:paraId="6798565E" w14:textId="77777777" w:rsidR="005B753E" w:rsidRPr="005B753E" w:rsidRDefault="005B753E" w:rsidP="005B753E">
      <w:pPr>
        <w:shd w:val="clear" w:color="auto" w:fill="FFFFFF"/>
        <w:spacing w:after="375" w:line="270" w:lineRule="atLeast"/>
        <w:ind w:left="360"/>
        <w:rPr>
          <w:rFonts w:ascii="Open Sans" w:eastAsia="Times New Roman" w:hAnsi="Open Sans" w:cs="Open Sans"/>
          <w:spacing w:val="7"/>
          <w:lang w:eastAsia="it-IT"/>
        </w:rPr>
      </w:pPr>
      <w:r w:rsidRPr="005B753E">
        <w:rPr>
          <w:rFonts w:ascii="Open Sans" w:eastAsia="Times New Roman" w:hAnsi="Open Sans" w:cs="Open Sans"/>
          <w:spacing w:val="7"/>
          <w:u w:val="single"/>
          <w:lang w:eastAsia="it-IT"/>
        </w:rPr>
        <w:t>Il bonus non spetta per i periodi di sospensione della responsabilità genitoriale</w:t>
      </w:r>
      <w:r w:rsidRPr="005B753E">
        <w:rPr>
          <w:rFonts w:ascii="Open Sans" w:eastAsia="Times New Roman" w:hAnsi="Open Sans" w:cs="Open Sans"/>
          <w:spacing w:val="7"/>
          <w:lang w:eastAsia="it-IT"/>
        </w:rPr>
        <w:t>, o fino al compimento del decimo anno di età del secondo figlio o del diciottesimo anno di età del figlio più piccolo nel caso di tre o più figli.</w:t>
      </w:r>
    </w:p>
    <w:p w14:paraId="5A364A75" w14:textId="77777777" w:rsidR="005B753E" w:rsidRPr="005B753E" w:rsidRDefault="005B753E" w:rsidP="005B753E">
      <w:pPr>
        <w:shd w:val="clear" w:color="auto" w:fill="FFFFFF"/>
        <w:spacing w:after="375" w:line="270" w:lineRule="atLeast"/>
        <w:ind w:left="360"/>
        <w:rPr>
          <w:rFonts w:ascii="Open Sans" w:eastAsia="Times New Roman" w:hAnsi="Open Sans" w:cs="Open Sans"/>
          <w:spacing w:val="7"/>
          <w:lang w:eastAsia="it-IT"/>
        </w:rPr>
      </w:pPr>
      <w:r w:rsidRPr="005B753E">
        <w:rPr>
          <w:rFonts w:ascii="Open Sans" w:eastAsia="Times New Roman" w:hAnsi="Open Sans" w:cs="Open Sans"/>
          <w:spacing w:val="7"/>
          <w:u w:val="single"/>
          <w:lang w:eastAsia="it-IT"/>
        </w:rPr>
        <w:t>Se tale requisito si perfeziona in un momento successivo al 1° gennaio 2025, il nuovo bonus mamme spetta a partire dal mese in cui si perfeziona il requisito</w:t>
      </w:r>
      <w:r w:rsidRPr="005B753E">
        <w:rPr>
          <w:rFonts w:ascii="Open Sans" w:eastAsia="Times New Roman" w:hAnsi="Open Sans" w:cs="Open Sans"/>
          <w:spacing w:val="7"/>
          <w:lang w:eastAsia="it-IT"/>
        </w:rPr>
        <w:t>. In particolare, nel caso di nascita del secondo o successivo figlio nel corso dell’anno 2025, il requisito si cristallizza nel mese di nascita, non producendo alcuna decadenza dal diritto l’eventuale decesso del bambino o l’affidamento esclusivo di uno o più figli al padre. Ai fine della sussistenza del requisito non rilevano i figli per i quali è cessata la responsabilità genitoriale.</w:t>
      </w:r>
    </w:p>
    <w:p w14:paraId="6FD36370" w14:textId="77777777" w:rsidR="005B753E" w:rsidRPr="005B753E" w:rsidRDefault="005B753E" w:rsidP="005B753E">
      <w:pPr>
        <w:shd w:val="clear" w:color="auto" w:fill="FFFFFF"/>
        <w:spacing w:after="375" w:line="270" w:lineRule="atLeast"/>
        <w:ind w:left="360"/>
        <w:rPr>
          <w:rFonts w:ascii="Open Sans" w:eastAsia="Times New Roman" w:hAnsi="Open Sans" w:cs="Open Sans"/>
          <w:spacing w:val="7"/>
          <w:lang w:eastAsia="it-IT"/>
        </w:rPr>
      </w:pPr>
      <w:r w:rsidRPr="005B753E">
        <w:rPr>
          <w:rFonts w:ascii="Open Sans" w:eastAsia="Times New Roman" w:hAnsi="Open Sans" w:cs="Open Sans"/>
          <w:spacing w:val="7"/>
          <w:lang w:eastAsia="it-IT"/>
        </w:rPr>
        <w:t xml:space="preserve">Rientrano nell’ambito di applicazione del nuovo bonus mamme anche </w:t>
      </w:r>
      <w:r w:rsidRPr="005B753E">
        <w:rPr>
          <w:rFonts w:ascii="Open Sans" w:eastAsia="Times New Roman" w:hAnsi="Open Sans" w:cs="Open Sans"/>
          <w:spacing w:val="7"/>
          <w:u w:val="single"/>
          <w:lang w:eastAsia="it-IT"/>
        </w:rPr>
        <w:t>i rapporti</w:t>
      </w:r>
      <w:r w:rsidRPr="005B753E">
        <w:rPr>
          <w:rFonts w:ascii="Open Sans" w:eastAsia="Times New Roman" w:hAnsi="Open Sans" w:cs="Open Sans"/>
          <w:spacing w:val="7"/>
          <w:lang w:eastAsia="it-IT"/>
        </w:rPr>
        <w:t xml:space="preserve"> </w:t>
      </w:r>
      <w:r w:rsidRPr="005B753E">
        <w:rPr>
          <w:rFonts w:ascii="Open Sans" w:eastAsia="Times New Roman" w:hAnsi="Open Sans" w:cs="Open Sans"/>
          <w:spacing w:val="7"/>
          <w:u w:val="single"/>
          <w:lang w:eastAsia="it-IT"/>
        </w:rPr>
        <w:t>di lavoro intermittente</w:t>
      </w:r>
      <w:r w:rsidRPr="005B753E">
        <w:rPr>
          <w:rFonts w:ascii="Open Sans" w:eastAsia="Times New Roman" w:hAnsi="Open Sans" w:cs="Open Sans"/>
          <w:spacing w:val="7"/>
          <w:lang w:eastAsia="it-IT"/>
        </w:rPr>
        <w:t xml:space="preserve">, nonché </w:t>
      </w:r>
      <w:r w:rsidRPr="005B753E">
        <w:rPr>
          <w:rFonts w:ascii="Open Sans" w:eastAsia="Times New Roman" w:hAnsi="Open Sans" w:cs="Open Sans"/>
          <w:spacing w:val="7"/>
          <w:u w:val="single"/>
          <w:lang w:eastAsia="it-IT"/>
        </w:rPr>
        <w:t>quelli a scopo di somministrazione</w:t>
      </w:r>
      <w:r w:rsidRPr="005B753E">
        <w:rPr>
          <w:rFonts w:ascii="Open Sans" w:eastAsia="Times New Roman" w:hAnsi="Open Sans" w:cs="Open Sans"/>
          <w:spacing w:val="7"/>
          <w:lang w:eastAsia="it-IT"/>
        </w:rPr>
        <w:t> ma sono escluse dalla platea delle beneficiarie del bonus le titolari di cariche sociali e le imprenditrici non iscritte all’Assicurazione generale obbligatoria e alle forme sostitutive, esclusive ed esonerative della medesima.</w:t>
      </w:r>
    </w:p>
    <w:p w14:paraId="15F7D6AC" w14:textId="76D742CD" w:rsidR="005B753E" w:rsidRPr="005B753E" w:rsidRDefault="005B753E" w:rsidP="005B753E">
      <w:pPr>
        <w:shd w:val="clear" w:color="auto" w:fill="FFFFFF"/>
        <w:spacing w:after="375" w:line="270" w:lineRule="atLeast"/>
        <w:ind w:left="360"/>
        <w:rPr>
          <w:rFonts w:ascii="Open Sans" w:eastAsia="Times New Roman" w:hAnsi="Open Sans" w:cs="Open Sans"/>
          <w:spacing w:val="7"/>
          <w:lang w:eastAsia="it-IT"/>
        </w:rPr>
      </w:pPr>
      <w:r w:rsidRPr="005B753E">
        <w:rPr>
          <w:rFonts w:ascii="Open Sans" w:eastAsia="Times New Roman" w:hAnsi="Open Sans" w:cs="Open Sans"/>
          <w:spacing w:val="7"/>
          <w:lang w:eastAsia="it-IT"/>
        </w:rPr>
        <w:t>Nel caso di trasformazione di un rapporto di lavoro da tempo determinato a tempo indeterminato con riferimento ad una lavoratrice madre di tre figli, il diritto al nuovo bonus mamme cessa a decorrere dal mese di trasformazione del rapporto di lavoro. Si ricorda che i rapporti di apprendistato rientrano nei contratti di lavoro a tempo indeterminato, poiché gli stessi, come previsto dall’</w:t>
      </w:r>
      <w:hyperlink r:id="rId14" w:tgtFrame="_blank" w:tooltip="art. 41" w:history="1">
        <w:r w:rsidRPr="005B753E">
          <w:rPr>
            <w:rFonts w:ascii="Open Sans" w:eastAsia="Times New Roman" w:hAnsi="Open Sans" w:cs="Open Sans"/>
            <w:spacing w:val="7"/>
            <w:lang w:eastAsia="it-IT"/>
          </w:rPr>
          <w:t>art. 41</w:t>
        </w:r>
      </w:hyperlink>
      <w:r w:rsidRPr="005B753E">
        <w:rPr>
          <w:rFonts w:ascii="Open Sans" w:eastAsia="Times New Roman" w:hAnsi="Open Sans" w:cs="Open Sans"/>
          <w:spacing w:val="7"/>
          <w:lang w:eastAsia="it-IT"/>
        </w:rPr>
        <w:t>, comma 1, del </w:t>
      </w:r>
      <w:hyperlink r:id="rId15" w:tgtFrame="_blank" w:tooltip="D.Lgs. 15 giugno 2015, n. 81" w:history="1">
        <w:r w:rsidRPr="005B753E">
          <w:rPr>
            <w:rFonts w:ascii="Open Sans" w:eastAsia="Times New Roman" w:hAnsi="Open Sans" w:cs="Open Sans"/>
            <w:spacing w:val="7"/>
            <w:lang w:eastAsia="it-IT"/>
          </w:rPr>
          <w:t>D.lgs. 15 giugno 2015, n. 81</w:t>
        </w:r>
      </w:hyperlink>
      <w:r w:rsidRPr="005B753E">
        <w:rPr>
          <w:rFonts w:ascii="Open Sans" w:eastAsia="Times New Roman" w:hAnsi="Open Sans" w:cs="Open Sans"/>
          <w:spacing w:val="7"/>
          <w:lang w:eastAsia="it-IT"/>
        </w:rPr>
        <w:t xml:space="preserve">. </w:t>
      </w:r>
    </w:p>
    <w:p w14:paraId="5FF33556" w14:textId="77777777" w:rsidR="005B753E" w:rsidRPr="005B753E" w:rsidRDefault="005B753E" w:rsidP="00867A52">
      <w:pPr>
        <w:shd w:val="clear" w:color="auto" w:fill="FFFFFF"/>
        <w:spacing w:line="270" w:lineRule="atLeast"/>
        <w:ind w:left="360"/>
        <w:rPr>
          <w:rFonts w:ascii="Open Sans" w:eastAsia="Times New Roman" w:hAnsi="Open Sans" w:cs="Open Sans"/>
          <w:b/>
          <w:bCs/>
          <w:spacing w:val="7"/>
          <w:lang w:eastAsia="it-IT"/>
        </w:rPr>
      </w:pPr>
      <w:r w:rsidRPr="005B753E">
        <w:rPr>
          <w:rFonts w:ascii="Open Sans" w:eastAsia="Times New Roman" w:hAnsi="Open Sans" w:cs="Open Sans"/>
          <w:b/>
          <w:bCs/>
          <w:spacing w:val="7"/>
          <w:lang w:eastAsia="it-IT"/>
        </w:rPr>
        <w:t>Importo e modalità di erogazione</w:t>
      </w:r>
    </w:p>
    <w:p w14:paraId="10520E92" w14:textId="77777777" w:rsidR="005B753E" w:rsidRPr="008271E4" w:rsidRDefault="005B753E" w:rsidP="00867A52">
      <w:pPr>
        <w:shd w:val="clear" w:color="auto" w:fill="FFFFFF"/>
        <w:spacing w:line="270" w:lineRule="atLeast"/>
        <w:ind w:left="360"/>
        <w:rPr>
          <w:rFonts w:ascii="Open Sans" w:eastAsia="Times New Roman" w:hAnsi="Open Sans" w:cs="Open Sans"/>
          <w:spacing w:val="7"/>
          <w:lang w:eastAsia="it-IT"/>
        </w:rPr>
      </w:pPr>
      <w:r w:rsidRPr="005B753E">
        <w:rPr>
          <w:rFonts w:ascii="Open Sans" w:eastAsia="Times New Roman" w:hAnsi="Open Sans" w:cs="Open Sans"/>
          <w:spacing w:val="7"/>
          <w:lang w:eastAsia="it-IT"/>
        </w:rPr>
        <w:t>L’importo del bonus è pari a </w:t>
      </w:r>
      <w:r w:rsidRPr="005B753E">
        <w:rPr>
          <w:rFonts w:ascii="Open Sans" w:eastAsia="Times New Roman" w:hAnsi="Open Sans" w:cs="Open Sans"/>
          <w:b/>
          <w:bCs/>
          <w:spacing w:val="7"/>
          <w:lang w:eastAsia="it-IT"/>
        </w:rPr>
        <w:t>40 euro mensili</w:t>
      </w:r>
      <w:r w:rsidRPr="005B753E">
        <w:rPr>
          <w:rFonts w:ascii="Open Sans" w:eastAsia="Times New Roman" w:hAnsi="Open Sans" w:cs="Open Sans"/>
          <w:spacing w:val="7"/>
          <w:lang w:eastAsia="it-IT"/>
        </w:rPr>
        <w:t xml:space="preserve">, non imponibili ai fini fiscali e contributivi. </w:t>
      </w:r>
    </w:p>
    <w:p w14:paraId="264E0482" w14:textId="77777777" w:rsidR="00867A52" w:rsidRPr="005B753E" w:rsidRDefault="00867A52" w:rsidP="00867A52">
      <w:pPr>
        <w:shd w:val="clear" w:color="auto" w:fill="FFFFFF"/>
        <w:spacing w:line="270" w:lineRule="atLeast"/>
        <w:ind w:left="360"/>
        <w:rPr>
          <w:rFonts w:ascii="Open Sans" w:eastAsia="Times New Roman" w:hAnsi="Open Sans" w:cs="Open Sans"/>
          <w:spacing w:val="7"/>
          <w:lang w:eastAsia="it-IT"/>
        </w:rPr>
      </w:pPr>
    </w:p>
    <w:p w14:paraId="4C39BFDE" w14:textId="237D15C7" w:rsidR="00867A52" w:rsidRPr="008271E4" w:rsidRDefault="005B753E" w:rsidP="008271E4">
      <w:pPr>
        <w:shd w:val="clear" w:color="auto" w:fill="FFFFFF"/>
        <w:spacing w:after="375" w:line="270" w:lineRule="atLeast"/>
        <w:ind w:left="360"/>
        <w:rPr>
          <w:rFonts w:ascii="Open Sans" w:eastAsia="Times New Roman" w:hAnsi="Open Sans" w:cs="Open Sans"/>
          <w:spacing w:val="7"/>
          <w:lang w:eastAsia="it-IT"/>
        </w:rPr>
      </w:pPr>
      <w:r w:rsidRPr="005B753E">
        <w:rPr>
          <w:rFonts w:ascii="Open Sans" w:eastAsia="Times New Roman" w:hAnsi="Open Sans" w:cs="Open Sans"/>
          <w:spacing w:val="7"/>
          <w:lang w:eastAsia="it-IT"/>
        </w:rPr>
        <w:t xml:space="preserve">Il pagamento avverrà in unica soluzione nel mese di dicembre 2025, </w:t>
      </w:r>
      <w:r w:rsidRPr="005B753E">
        <w:rPr>
          <w:rFonts w:ascii="Open Sans" w:eastAsia="Times New Roman" w:hAnsi="Open Sans" w:cs="Open Sans"/>
          <w:spacing w:val="7"/>
          <w:u w:val="single"/>
          <w:lang w:eastAsia="it-IT"/>
        </w:rPr>
        <w:t>per le mensilità maturate da gennaio a novembre</w:t>
      </w:r>
      <w:r w:rsidRPr="005B753E">
        <w:rPr>
          <w:rFonts w:ascii="Open Sans" w:eastAsia="Times New Roman" w:hAnsi="Open Sans" w:cs="Open Sans"/>
          <w:spacing w:val="7"/>
          <w:lang w:eastAsia="it-IT"/>
        </w:rPr>
        <w:t>, oppure entro febbraio 2026 se la domanda è presentata in tempo non utile per la liquidazione di dicembre. In totale, l’importo massimo riconoscibile è di </w:t>
      </w:r>
      <w:r w:rsidRPr="005B753E">
        <w:rPr>
          <w:rFonts w:ascii="Open Sans" w:eastAsia="Times New Roman" w:hAnsi="Open Sans" w:cs="Open Sans"/>
          <w:b/>
          <w:bCs/>
          <w:spacing w:val="7"/>
          <w:lang w:eastAsia="it-IT"/>
        </w:rPr>
        <w:t>480 euro annui</w:t>
      </w:r>
      <w:r w:rsidRPr="005B753E">
        <w:rPr>
          <w:rFonts w:ascii="Open Sans" w:eastAsia="Times New Roman" w:hAnsi="Open Sans" w:cs="Open Sans"/>
          <w:spacing w:val="7"/>
          <w:lang w:eastAsia="it-IT"/>
        </w:rPr>
        <w:t> (12 mensilità), ma l’importo effettivo sarà calcolato in base ai mesi di attività lavorativa svolta nel corso dell’anno.</w:t>
      </w:r>
    </w:p>
    <w:p w14:paraId="6DF88C4E" w14:textId="1D75D359" w:rsidR="005B753E" w:rsidRPr="005B753E" w:rsidRDefault="005B753E" w:rsidP="00867A52">
      <w:pPr>
        <w:shd w:val="clear" w:color="auto" w:fill="FFFFFF"/>
        <w:spacing w:line="270" w:lineRule="atLeast"/>
        <w:ind w:left="360"/>
        <w:rPr>
          <w:rFonts w:ascii="Open Sans" w:eastAsia="Times New Roman" w:hAnsi="Open Sans" w:cs="Open Sans"/>
          <w:b/>
          <w:bCs/>
          <w:spacing w:val="7"/>
          <w:lang w:eastAsia="it-IT"/>
        </w:rPr>
      </w:pPr>
      <w:r w:rsidRPr="005B753E">
        <w:rPr>
          <w:rFonts w:ascii="Open Sans" w:eastAsia="Times New Roman" w:hAnsi="Open Sans" w:cs="Open Sans"/>
          <w:b/>
          <w:bCs/>
          <w:spacing w:val="7"/>
          <w:lang w:eastAsia="it-IT"/>
        </w:rPr>
        <w:t>Come si presentano le domande</w:t>
      </w:r>
    </w:p>
    <w:p w14:paraId="732B869E" w14:textId="77777777" w:rsidR="005B753E" w:rsidRPr="008271E4" w:rsidRDefault="005B753E" w:rsidP="005B753E">
      <w:pPr>
        <w:shd w:val="clear" w:color="auto" w:fill="FFFFFF"/>
        <w:ind w:left="360"/>
        <w:rPr>
          <w:rFonts w:ascii="Open Sans" w:eastAsia="Times New Roman" w:hAnsi="Open Sans" w:cs="Open Sans"/>
          <w:spacing w:val="7"/>
          <w:lang w:eastAsia="it-IT"/>
        </w:rPr>
      </w:pPr>
      <w:r w:rsidRPr="005B753E">
        <w:rPr>
          <w:rFonts w:ascii="Open Sans" w:eastAsia="Times New Roman" w:hAnsi="Open Sans" w:cs="Open Sans"/>
          <w:spacing w:val="7"/>
          <w:lang w:eastAsia="it-IT"/>
        </w:rPr>
        <w:lastRenderedPageBreak/>
        <w:t>Le lavoratrici interessate devono presentare richiesta all’INPS entro 40 giorni dalla pubblicazione della circolare n. 139/2025, e comunque non oltre il 31 gennaio 2026 attraverso uno dei seguenti tre canali:</w:t>
      </w:r>
    </w:p>
    <w:p w14:paraId="570D1996" w14:textId="77777777" w:rsidR="005B753E" w:rsidRPr="005B753E" w:rsidRDefault="005B753E" w:rsidP="005B753E">
      <w:pPr>
        <w:shd w:val="clear" w:color="auto" w:fill="FFFFFF"/>
        <w:ind w:left="0"/>
        <w:rPr>
          <w:rFonts w:ascii="Open Sans" w:eastAsia="Times New Roman" w:hAnsi="Open Sans" w:cs="Open Sans"/>
          <w:spacing w:val="7"/>
          <w:lang w:eastAsia="it-IT"/>
        </w:rPr>
      </w:pPr>
    </w:p>
    <w:p w14:paraId="67D84605" w14:textId="73A3605D" w:rsidR="005B753E" w:rsidRPr="008271E4" w:rsidRDefault="005B753E" w:rsidP="005B753E">
      <w:pPr>
        <w:pStyle w:val="Paragrafoelenco"/>
        <w:numPr>
          <w:ilvl w:val="0"/>
          <w:numId w:val="19"/>
        </w:numPr>
        <w:shd w:val="clear" w:color="auto" w:fill="FFFFFF"/>
        <w:spacing w:line="270" w:lineRule="atLeast"/>
        <w:rPr>
          <w:rFonts w:ascii="Open Sans" w:eastAsia="Times New Roman" w:hAnsi="Open Sans" w:cs="Open Sans"/>
          <w:spacing w:val="7"/>
          <w:lang w:eastAsia="it-IT"/>
        </w:rPr>
      </w:pPr>
      <w:r w:rsidRPr="008271E4">
        <w:rPr>
          <w:rFonts w:ascii="Open Sans" w:eastAsia="Times New Roman" w:hAnsi="Open Sans" w:cs="Open Sans"/>
          <w:spacing w:val="7"/>
          <w:lang w:eastAsia="it-IT"/>
        </w:rPr>
        <w:t>Portale INPS, accedendo con SPID, CIE o CNS;</w:t>
      </w:r>
    </w:p>
    <w:p w14:paraId="6F0319EF" w14:textId="3732260A" w:rsidR="005B753E" w:rsidRPr="008271E4" w:rsidRDefault="005B753E" w:rsidP="005B753E">
      <w:pPr>
        <w:pStyle w:val="Paragrafoelenco"/>
        <w:numPr>
          <w:ilvl w:val="0"/>
          <w:numId w:val="19"/>
        </w:numPr>
        <w:shd w:val="clear" w:color="auto" w:fill="FFFFFF"/>
        <w:spacing w:after="375" w:line="270" w:lineRule="atLeast"/>
        <w:rPr>
          <w:rFonts w:ascii="Open Sans" w:eastAsia="Times New Roman" w:hAnsi="Open Sans" w:cs="Open Sans"/>
          <w:spacing w:val="7"/>
          <w:lang w:eastAsia="it-IT"/>
        </w:rPr>
      </w:pPr>
      <w:r w:rsidRPr="008271E4">
        <w:rPr>
          <w:rFonts w:ascii="Open Sans" w:eastAsia="Times New Roman" w:hAnsi="Open Sans" w:cs="Open Sans"/>
          <w:spacing w:val="7"/>
          <w:lang w:eastAsia="it-IT"/>
        </w:rPr>
        <w:t>Contact Center Multicanale, ai numeri 803.164 (da rete fissa) o 06 164.164 (da mobile);</w:t>
      </w:r>
    </w:p>
    <w:p w14:paraId="6506EA25" w14:textId="05F2E04D" w:rsidR="005B753E" w:rsidRPr="008271E4" w:rsidRDefault="005B753E" w:rsidP="005B753E">
      <w:pPr>
        <w:pStyle w:val="Paragrafoelenco"/>
        <w:numPr>
          <w:ilvl w:val="0"/>
          <w:numId w:val="19"/>
        </w:numPr>
        <w:shd w:val="clear" w:color="auto" w:fill="FFFFFF"/>
        <w:spacing w:after="375" w:line="270" w:lineRule="atLeast"/>
        <w:rPr>
          <w:rFonts w:ascii="Open Sans" w:eastAsia="Times New Roman" w:hAnsi="Open Sans" w:cs="Open Sans"/>
          <w:spacing w:val="7"/>
          <w:lang w:eastAsia="it-IT"/>
        </w:rPr>
      </w:pPr>
      <w:r w:rsidRPr="008271E4">
        <w:rPr>
          <w:rFonts w:ascii="Open Sans" w:eastAsia="Times New Roman" w:hAnsi="Open Sans" w:cs="Open Sans"/>
          <w:spacing w:val="7"/>
          <w:lang w:eastAsia="it-IT"/>
        </w:rPr>
        <w:t>Patronati, che offrono assistenza nella compilazione.</w:t>
      </w:r>
    </w:p>
    <w:p w14:paraId="362CDE6E" w14:textId="77777777" w:rsidR="005B753E" w:rsidRPr="008271E4" w:rsidRDefault="005B753E" w:rsidP="005B753E">
      <w:pPr>
        <w:pStyle w:val="Paragrafoelenco"/>
        <w:shd w:val="clear" w:color="auto" w:fill="FFFFFF"/>
        <w:spacing w:after="375" w:line="270" w:lineRule="atLeast"/>
        <w:ind w:left="1080"/>
        <w:rPr>
          <w:rFonts w:ascii="Open Sans" w:eastAsia="Times New Roman" w:hAnsi="Open Sans" w:cs="Open Sans"/>
          <w:spacing w:val="7"/>
          <w:lang w:eastAsia="it-IT"/>
        </w:rPr>
      </w:pPr>
    </w:p>
    <w:p w14:paraId="55518540" w14:textId="6B9109AB" w:rsidR="005B753E" w:rsidRPr="008271E4" w:rsidRDefault="005B753E" w:rsidP="005B753E">
      <w:pPr>
        <w:pStyle w:val="Paragrafoelenco"/>
        <w:shd w:val="clear" w:color="auto" w:fill="FFFFFF"/>
        <w:spacing w:after="375" w:line="270" w:lineRule="atLeast"/>
        <w:ind w:left="1134" w:hanging="850"/>
        <w:rPr>
          <w:rFonts w:ascii="Open Sans" w:eastAsia="Times New Roman" w:hAnsi="Open Sans" w:cs="Open Sans"/>
          <w:spacing w:val="7"/>
          <w:lang w:eastAsia="it-IT"/>
        </w:rPr>
      </w:pPr>
      <w:r w:rsidRPr="008271E4">
        <w:rPr>
          <w:rFonts w:ascii="Open Sans" w:eastAsia="Times New Roman" w:hAnsi="Open Sans" w:cs="Open Sans"/>
          <w:spacing w:val="7"/>
          <w:lang w:eastAsia="it-IT"/>
        </w:rPr>
        <w:t>Nella domanda, la richiedente deve dichiarare:</w:t>
      </w:r>
    </w:p>
    <w:p w14:paraId="3371D319" w14:textId="6EA410DE" w:rsidR="005B753E" w:rsidRPr="008271E4" w:rsidRDefault="005B753E" w:rsidP="005B753E">
      <w:pPr>
        <w:pStyle w:val="Paragrafoelenco"/>
        <w:numPr>
          <w:ilvl w:val="0"/>
          <w:numId w:val="19"/>
        </w:numPr>
        <w:shd w:val="clear" w:color="auto" w:fill="FFFFFF"/>
        <w:spacing w:after="375" w:line="270" w:lineRule="atLeast"/>
        <w:rPr>
          <w:rFonts w:ascii="Open Sans" w:eastAsia="Times New Roman" w:hAnsi="Open Sans" w:cs="Open Sans"/>
          <w:spacing w:val="7"/>
          <w:lang w:eastAsia="it-IT"/>
        </w:rPr>
      </w:pPr>
      <w:r w:rsidRPr="008271E4">
        <w:rPr>
          <w:rFonts w:ascii="Open Sans" w:eastAsia="Times New Roman" w:hAnsi="Open Sans" w:cs="Open Sans"/>
          <w:spacing w:val="7"/>
          <w:lang w:eastAsia="it-IT"/>
        </w:rPr>
        <w:t>il numero e l’età dei figli, specificando i dati anagrafici e il codice fiscale (o, se mancante, la documentazione anagrafica equivalente);</w:t>
      </w:r>
    </w:p>
    <w:p w14:paraId="30BC40AC" w14:textId="7EE80701" w:rsidR="005B753E" w:rsidRPr="008271E4" w:rsidRDefault="005B753E" w:rsidP="005B753E">
      <w:pPr>
        <w:pStyle w:val="Paragrafoelenco"/>
        <w:numPr>
          <w:ilvl w:val="0"/>
          <w:numId w:val="19"/>
        </w:numPr>
        <w:shd w:val="clear" w:color="auto" w:fill="FFFFFF"/>
        <w:spacing w:after="375" w:line="270" w:lineRule="atLeast"/>
        <w:rPr>
          <w:rFonts w:ascii="Open Sans" w:eastAsia="Times New Roman" w:hAnsi="Open Sans" w:cs="Open Sans"/>
          <w:spacing w:val="7"/>
          <w:lang w:eastAsia="it-IT"/>
        </w:rPr>
      </w:pPr>
      <w:r w:rsidRPr="008271E4">
        <w:rPr>
          <w:rFonts w:ascii="Open Sans" w:eastAsia="Times New Roman" w:hAnsi="Open Sans" w:cs="Open Sans"/>
          <w:spacing w:val="7"/>
          <w:lang w:eastAsia="it-IT"/>
        </w:rPr>
        <w:t>la tipologia di attività lavorativa (dipendente o autonoma);</w:t>
      </w:r>
    </w:p>
    <w:p w14:paraId="4109D11D" w14:textId="71CF4CE9" w:rsidR="005B753E" w:rsidRPr="008271E4" w:rsidRDefault="005B753E" w:rsidP="005B753E">
      <w:pPr>
        <w:pStyle w:val="Paragrafoelenco"/>
        <w:numPr>
          <w:ilvl w:val="0"/>
          <w:numId w:val="19"/>
        </w:numPr>
        <w:shd w:val="clear" w:color="auto" w:fill="FFFFFF"/>
        <w:spacing w:after="375" w:line="270" w:lineRule="atLeast"/>
        <w:rPr>
          <w:rFonts w:ascii="Open Sans" w:eastAsia="Times New Roman" w:hAnsi="Open Sans" w:cs="Open Sans"/>
          <w:spacing w:val="7"/>
          <w:lang w:eastAsia="it-IT"/>
        </w:rPr>
      </w:pPr>
      <w:r w:rsidRPr="008271E4">
        <w:rPr>
          <w:rFonts w:ascii="Open Sans" w:eastAsia="Times New Roman" w:hAnsi="Open Sans" w:cs="Open Sans"/>
          <w:spacing w:val="7"/>
          <w:lang w:eastAsia="it-IT"/>
        </w:rPr>
        <w:t>l’assenza di rapporti a tempo indeterminato nei mesi di richiesta (per le madri con tre o più figli);</w:t>
      </w:r>
    </w:p>
    <w:p w14:paraId="30A81C14" w14:textId="72922347" w:rsidR="005B753E" w:rsidRPr="008271E4" w:rsidRDefault="005B753E" w:rsidP="005B753E">
      <w:pPr>
        <w:pStyle w:val="Paragrafoelenco"/>
        <w:numPr>
          <w:ilvl w:val="0"/>
          <w:numId w:val="19"/>
        </w:numPr>
        <w:shd w:val="clear" w:color="auto" w:fill="FFFFFF"/>
        <w:spacing w:after="375" w:line="270" w:lineRule="atLeast"/>
        <w:rPr>
          <w:rFonts w:ascii="Open Sans" w:eastAsia="Times New Roman" w:hAnsi="Open Sans" w:cs="Open Sans"/>
          <w:spacing w:val="7"/>
          <w:lang w:eastAsia="it-IT"/>
        </w:rPr>
      </w:pPr>
      <w:r w:rsidRPr="008271E4">
        <w:rPr>
          <w:rFonts w:ascii="Open Sans" w:eastAsia="Times New Roman" w:hAnsi="Open Sans" w:cs="Open Sans"/>
          <w:spacing w:val="7"/>
          <w:lang w:eastAsia="it-IT"/>
        </w:rPr>
        <w:t>un reddito da Lavoro, nel periodo d’imposta 2025, non superiore a 40.000 euro annui;</w:t>
      </w:r>
    </w:p>
    <w:p w14:paraId="3C49FD3D" w14:textId="74E8948B" w:rsidR="005B753E" w:rsidRPr="008271E4" w:rsidRDefault="005B753E" w:rsidP="005B753E">
      <w:pPr>
        <w:pStyle w:val="Paragrafoelenco"/>
        <w:numPr>
          <w:ilvl w:val="0"/>
          <w:numId w:val="19"/>
        </w:numPr>
        <w:shd w:val="clear" w:color="auto" w:fill="FFFFFF"/>
        <w:spacing w:after="375" w:line="270" w:lineRule="atLeast"/>
        <w:rPr>
          <w:rFonts w:ascii="Open Sans" w:eastAsia="Times New Roman" w:hAnsi="Open Sans" w:cs="Open Sans"/>
          <w:spacing w:val="7"/>
          <w:lang w:eastAsia="it-IT"/>
        </w:rPr>
      </w:pPr>
      <w:r w:rsidRPr="008271E4">
        <w:rPr>
          <w:rFonts w:ascii="Open Sans" w:eastAsia="Times New Roman" w:hAnsi="Open Sans" w:cs="Open Sans"/>
          <w:spacing w:val="7"/>
          <w:lang w:eastAsia="it-IT"/>
        </w:rPr>
        <w:t>la modalità di pagamento prescelta (IBAN o bonifico domiciliato).</w:t>
      </w:r>
    </w:p>
    <w:p w14:paraId="7D84DC0E" w14:textId="69842640" w:rsidR="005B753E" w:rsidRPr="005B753E" w:rsidRDefault="005B753E" w:rsidP="00867A52">
      <w:pPr>
        <w:shd w:val="clear" w:color="auto" w:fill="FFFFFF"/>
        <w:spacing w:line="270" w:lineRule="atLeast"/>
        <w:ind w:left="360"/>
        <w:rPr>
          <w:rFonts w:ascii="Open Sans" w:eastAsia="Times New Roman" w:hAnsi="Open Sans" w:cs="Open Sans"/>
          <w:spacing w:val="7"/>
          <w:lang w:eastAsia="it-IT"/>
        </w:rPr>
      </w:pPr>
      <w:r w:rsidRPr="005B753E">
        <w:rPr>
          <w:rFonts w:ascii="Open Sans" w:eastAsia="Times New Roman" w:hAnsi="Open Sans" w:cs="Open Sans"/>
          <w:spacing w:val="7"/>
          <w:lang w:eastAsia="it-IT"/>
        </w:rPr>
        <w:t>Le informazioni saranno oggetto di verifiche da parte dell’Istituto: in caso di dichiarazioni mendaci si applicano le sanzioni previste dal </w:t>
      </w:r>
      <w:hyperlink r:id="rId16" w:tgtFrame="_blank" w:tooltip="D.P.R. n. 4452000" w:history="1">
        <w:r w:rsidRPr="005B753E">
          <w:rPr>
            <w:rFonts w:ascii="Open Sans" w:eastAsia="Times New Roman" w:hAnsi="Open Sans" w:cs="Open Sans"/>
            <w:spacing w:val="7"/>
            <w:lang w:eastAsia="it-IT"/>
          </w:rPr>
          <w:t>D.P.R. n. 445/2000</w:t>
        </w:r>
      </w:hyperlink>
      <w:r w:rsidRPr="005B753E">
        <w:rPr>
          <w:rFonts w:ascii="Open Sans" w:eastAsia="Times New Roman" w:hAnsi="Open Sans" w:cs="Open Sans"/>
          <w:spacing w:val="7"/>
          <w:lang w:eastAsia="it-IT"/>
        </w:rPr>
        <w:t>, con la revoca del beneficio e il recupero delle somme indebitamente percepite.</w:t>
      </w:r>
    </w:p>
    <w:p w14:paraId="2C3ABACA" w14:textId="4CAA8AB2" w:rsidR="005B753E" w:rsidRPr="005B753E" w:rsidRDefault="008271E4" w:rsidP="00867A52">
      <w:pPr>
        <w:shd w:val="clear" w:color="auto" w:fill="FFFFFF"/>
        <w:spacing w:after="375" w:line="270" w:lineRule="atLeast"/>
        <w:ind w:left="360"/>
        <w:rPr>
          <w:rFonts w:ascii="Open Sans" w:eastAsia="Times New Roman" w:hAnsi="Open Sans" w:cs="Open Sans"/>
          <w:spacing w:val="7"/>
          <w:lang w:eastAsia="it-IT"/>
        </w:rPr>
      </w:pPr>
      <w:r w:rsidRPr="005B753E">
        <w:rPr>
          <w:rFonts w:ascii="Open Sans" w:eastAsia="Times New Roman" w:hAnsi="Open Sans" w:cs="Open Sans"/>
          <w:noProof/>
          <w:spacing w:val="7"/>
          <w:lang w:eastAsia="it-IT"/>
        </w:rPr>
        <w:drawing>
          <wp:anchor distT="0" distB="0" distL="114300" distR="114300" simplePos="0" relativeHeight="251658752" behindDoc="0" locked="0" layoutInCell="1" allowOverlap="1" wp14:anchorId="1E759635" wp14:editId="41200281">
            <wp:simplePos x="0" y="0"/>
            <wp:positionH relativeFrom="column">
              <wp:posOffset>360432</wp:posOffset>
            </wp:positionH>
            <wp:positionV relativeFrom="paragraph">
              <wp:posOffset>802005</wp:posOffset>
            </wp:positionV>
            <wp:extent cx="5599430" cy="3013075"/>
            <wp:effectExtent l="0" t="0" r="1270" b="0"/>
            <wp:wrapThrough wrapText="bothSides">
              <wp:wrapPolygon edited="0">
                <wp:start x="0" y="0"/>
                <wp:lineTo x="0" y="21441"/>
                <wp:lineTo x="21531" y="21441"/>
                <wp:lineTo x="21531" y="0"/>
                <wp:lineTo x="0" y="0"/>
              </wp:wrapPolygon>
            </wp:wrapThrough>
            <wp:docPr id="2001290433" name="Immagine 2" descr="Immagine che contiene testo, schermata, Carattere, numero&#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290433" name="Immagine 2" descr="Immagine che contiene testo, schermata, Carattere, numero&#10;&#10;Il contenuto generato dall'IA potrebbe non essere corretto."/>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99430" cy="3013075"/>
                    </a:xfrm>
                    <a:prstGeom prst="rect">
                      <a:avLst/>
                    </a:prstGeom>
                    <a:noFill/>
                  </pic:spPr>
                </pic:pic>
              </a:graphicData>
            </a:graphic>
            <wp14:sizeRelH relativeFrom="page">
              <wp14:pctWidth>0</wp14:pctWidth>
            </wp14:sizeRelH>
            <wp14:sizeRelV relativeFrom="page">
              <wp14:pctHeight>0</wp14:pctHeight>
            </wp14:sizeRelV>
          </wp:anchor>
        </w:drawing>
      </w:r>
      <w:r w:rsidR="005B753E" w:rsidRPr="005B753E">
        <w:rPr>
          <w:rFonts w:ascii="Open Sans" w:eastAsia="Times New Roman" w:hAnsi="Open Sans" w:cs="Open Sans"/>
          <w:spacing w:val="7"/>
          <w:lang w:eastAsia="it-IT"/>
        </w:rPr>
        <w:t>Le domande devono essere presentate entro 40 giorni dalla data di pubblicazione della presente circolare, ovvero entro il 9 dicembre 2025. Le lavoratrici per le quali i requisiti si perfezionano successivamente a tale data, possono presentare la domanda entro il 31 gennaio 2026.</w:t>
      </w:r>
      <w:r w:rsidR="00867A52" w:rsidRPr="008271E4">
        <w:rPr>
          <w:rFonts w:ascii="Open Sans" w:eastAsia="Times New Roman" w:hAnsi="Open Sans" w:cs="Open Sans"/>
          <w:noProof/>
          <w:spacing w:val="7"/>
          <w:lang w:eastAsia="it-IT"/>
        </w:rPr>
        <w:t xml:space="preserve"> </w:t>
      </w:r>
    </w:p>
    <w:p w14:paraId="2DCE5A2D" w14:textId="130BF45F" w:rsidR="008271E4" w:rsidRDefault="008271E4">
      <w:pPr>
        <w:spacing w:after="200"/>
        <w:ind w:left="0"/>
        <w:jc w:val="left"/>
        <w:rPr>
          <w:rFonts w:ascii="Open Sans" w:eastAsia="Times New Roman" w:hAnsi="Open Sans" w:cs="Open Sans"/>
          <w:b/>
          <w:bCs/>
          <w:color w:val="548DD4"/>
          <w:spacing w:val="7"/>
          <w:sz w:val="24"/>
          <w:szCs w:val="24"/>
          <w:lang w:eastAsia="it-IT"/>
        </w:rPr>
      </w:pPr>
      <w:r>
        <w:rPr>
          <w:rFonts w:ascii="Open Sans" w:eastAsia="Times New Roman" w:hAnsi="Open Sans" w:cs="Open Sans"/>
          <w:b/>
          <w:bCs/>
          <w:color w:val="548DD4"/>
          <w:spacing w:val="7"/>
          <w:sz w:val="24"/>
          <w:szCs w:val="24"/>
          <w:lang w:eastAsia="it-IT"/>
        </w:rPr>
        <w:br w:type="page"/>
      </w:r>
    </w:p>
    <w:p w14:paraId="641CA934" w14:textId="10B93FB9" w:rsidR="005B753E" w:rsidRPr="005B753E" w:rsidRDefault="005B753E" w:rsidP="005B753E">
      <w:pPr>
        <w:shd w:val="clear" w:color="auto" w:fill="FFFFFF"/>
        <w:spacing w:after="375" w:line="270" w:lineRule="atLeast"/>
        <w:ind w:left="360"/>
        <w:rPr>
          <w:rFonts w:ascii="Open Sans" w:eastAsia="Times New Roman" w:hAnsi="Open Sans" w:cs="Open Sans"/>
          <w:b/>
          <w:bCs/>
          <w:color w:val="548DD4"/>
          <w:spacing w:val="7"/>
          <w:sz w:val="24"/>
          <w:szCs w:val="24"/>
          <w:lang w:eastAsia="it-IT"/>
        </w:rPr>
      </w:pPr>
      <w:r w:rsidRPr="005B753E">
        <w:rPr>
          <w:rFonts w:ascii="Open Sans" w:eastAsia="Times New Roman" w:hAnsi="Open Sans" w:cs="Open Sans"/>
          <w:b/>
          <w:bCs/>
          <w:color w:val="548DD4"/>
          <w:spacing w:val="7"/>
          <w:sz w:val="24"/>
          <w:szCs w:val="24"/>
          <w:lang w:eastAsia="it-IT"/>
        </w:rPr>
        <w:lastRenderedPageBreak/>
        <w:t>INDENNITA’ RISARCITORIE – licenziamenti illegittimi nelle piccole imprese</w:t>
      </w:r>
    </w:p>
    <w:p w14:paraId="3A941738" w14:textId="5753B19E" w:rsidR="005B753E" w:rsidRPr="005B753E" w:rsidRDefault="005B753E" w:rsidP="005B753E">
      <w:pPr>
        <w:shd w:val="clear" w:color="auto" w:fill="FFFFFF"/>
        <w:spacing w:after="375" w:line="270" w:lineRule="atLeast"/>
        <w:ind w:left="360"/>
        <w:rPr>
          <w:rFonts w:ascii="Open Sans" w:eastAsia="Times New Roman" w:hAnsi="Open Sans" w:cs="Open Sans"/>
          <w:spacing w:val="7"/>
          <w:lang w:eastAsia="it-IT"/>
        </w:rPr>
      </w:pPr>
      <w:r w:rsidRPr="005B753E">
        <w:rPr>
          <w:rFonts w:ascii="Open Sans" w:eastAsia="Times New Roman" w:hAnsi="Open Sans" w:cs="Open Sans"/>
          <w:spacing w:val="7"/>
          <w:lang w:eastAsia="it-IT"/>
        </w:rPr>
        <w:t>La Corte Costituzionale con sentenza n. 118/2025 ha dichiarato l’illegittimità costituzionale dell’art. 9, comma 1, D.lgs. 23/2015, nella parte in cui prevedeva un limite massimo di sei mensilità per l’indennizzo riconosciuto in caso di licenziamento illegittimo di lavoratore assunto dal 07/03/2015, nelle imprese di piccole dimensioni, cioè nelle imprese con un numero di dipendenti non superiore a 15 per unità produttiva o nello stesso comune e comunque con un numero di dipendenti non superiore a 60 dipendenti complessivi.</w:t>
      </w:r>
    </w:p>
    <w:p w14:paraId="5E4B8553" w14:textId="014C4F01" w:rsidR="005B753E" w:rsidRPr="005B753E" w:rsidRDefault="005B753E" w:rsidP="005B753E">
      <w:pPr>
        <w:shd w:val="clear" w:color="auto" w:fill="FFFFFF"/>
        <w:spacing w:after="375" w:line="270" w:lineRule="atLeast"/>
        <w:ind w:left="360"/>
        <w:rPr>
          <w:rFonts w:ascii="Open Sans" w:eastAsia="Times New Roman" w:hAnsi="Open Sans" w:cs="Open Sans"/>
          <w:spacing w:val="7"/>
          <w:lang w:eastAsia="it-IT"/>
        </w:rPr>
      </w:pPr>
      <w:r w:rsidRPr="005B753E">
        <w:rPr>
          <w:rFonts w:ascii="Open Sans" w:eastAsia="Times New Roman" w:hAnsi="Open Sans" w:cs="Open Sans"/>
          <w:spacing w:val="7"/>
          <w:lang w:eastAsia="it-IT"/>
        </w:rPr>
        <w:t>Per effetto della suddetta sentenza, in caso di licenziamento illegittimo di lavoratore assunto dal 07/03/2015, l’indennità risarcitoria dovrà essere determinata dal Giudice, sulla base di tutte le circostanze rilevanti (tra cui le dimensioni, il patrimonio ed il volume d’affari dell’impresa, il comportamento e le condizioni delle parti, la natura del vizio del licenziamento, l’anzianità di servizio del lavoratore, ecc.) tra un minimo di 3 mensilità ed un massimo di 18 mensilità della retribuzione di riferimento per il calcolo del TFR.</w:t>
      </w:r>
    </w:p>
    <w:p w14:paraId="6E9B44E7" w14:textId="12F02433" w:rsidR="005B753E" w:rsidRPr="005B753E" w:rsidRDefault="005B753E" w:rsidP="005B753E">
      <w:pPr>
        <w:shd w:val="clear" w:color="auto" w:fill="FFFFFF"/>
        <w:spacing w:after="375" w:line="270" w:lineRule="atLeast"/>
        <w:ind w:left="360"/>
        <w:rPr>
          <w:rFonts w:ascii="Open Sans" w:eastAsia="Times New Roman" w:hAnsi="Open Sans" w:cs="Open Sans"/>
          <w:spacing w:val="7"/>
          <w:lang w:eastAsia="it-IT"/>
        </w:rPr>
      </w:pPr>
      <w:r w:rsidRPr="005B753E">
        <w:rPr>
          <w:rFonts w:ascii="Open Sans" w:eastAsia="Times New Roman" w:hAnsi="Open Sans" w:cs="Open Sans"/>
          <w:spacing w:val="7"/>
          <w:lang w:eastAsia="it-IT"/>
        </w:rPr>
        <w:t>Si precisa che per i lavoratori assunti nelle imprese di piccole dimensioni prima del 07/03/2015, continua a trovare applicazione la disciplina di cui alla Legge n. 604/1966, la quale tuttora prevede, in caso di licenziamento illegittimo, un’indennità risarcitoria da determinarsi tra un minimo di 2,5 mensilità ed un massimo di 6 mensilità dell’ultima retribuzione globale.</w:t>
      </w:r>
    </w:p>
    <w:p w14:paraId="55AF3EA3" w14:textId="77777777" w:rsidR="005B753E" w:rsidRPr="005B753E" w:rsidRDefault="005B753E" w:rsidP="005B753E">
      <w:pPr>
        <w:shd w:val="clear" w:color="auto" w:fill="FFFFFF"/>
        <w:spacing w:after="375" w:line="270" w:lineRule="atLeast"/>
        <w:ind w:left="0"/>
        <w:rPr>
          <w:rFonts w:ascii="Open Sans" w:eastAsia="Times New Roman" w:hAnsi="Open Sans" w:cs="Open Sans"/>
          <w:b/>
          <w:bCs/>
          <w:color w:val="548DD4"/>
          <w:spacing w:val="7"/>
          <w:sz w:val="24"/>
          <w:szCs w:val="24"/>
          <w:lang w:eastAsia="it-IT"/>
        </w:rPr>
      </w:pPr>
      <w:r w:rsidRPr="005B753E">
        <w:rPr>
          <w:rFonts w:ascii="Open Sans" w:eastAsia="Times New Roman" w:hAnsi="Open Sans" w:cs="Open Sans"/>
          <w:b/>
          <w:bCs/>
          <w:color w:val="548DD4"/>
          <w:spacing w:val="7"/>
          <w:sz w:val="24"/>
          <w:szCs w:val="24"/>
          <w:lang w:eastAsia="it-IT"/>
        </w:rPr>
        <w:t>FRINGE BENEFIT AUTO 2025: sintesi alla luce degli ultimi chiarimenti dell’Agenzia delle Entrate</w:t>
      </w:r>
    </w:p>
    <w:p w14:paraId="3F02E2A2" w14:textId="77777777" w:rsidR="005B753E" w:rsidRPr="005B753E" w:rsidRDefault="005B753E" w:rsidP="005B753E">
      <w:pPr>
        <w:shd w:val="clear" w:color="auto" w:fill="FFFFFF"/>
        <w:spacing w:after="375" w:line="270" w:lineRule="atLeast"/>
        <w:ind w:left="0"/>
        <w:rPr>
          <w:rFonts w:ascii="Open Sans" w:eastAsia="Times New Roman" w:hAnsi="Open Sans" w:cs="Open Sans"/>
          <w:spacing w:val="7"/>
          <w:lang w:eastAsia="it-IT"/>
        </w:rPr>
      </w:pPr>
      <w:r w:rsidRPr="005B753E">
        <w:rPr>
          <w:rFonts w:ascii="Open Sans" w:eastAsia="Times New Roman" w:hAnsi="Open Sans" w:cs="Open Sans"/>
          <w:b/>
          <w:bCs/>
          <w:spacing w:val="7"/>
          <w:lang w:eastAsia="it-IT"/>
        </w:rPr>
        <w:t>Le novità della Legge di bilancio</w:t>
      </w:r>
      <w:r w:rsidRPr="005B753E">
        <w:rPr>
          <w:rFonts w:ascii="Open Sans" w:eastAsia="Times New Roman" w:hAnsi="Open Sans" w:cs="Open Sans"/>
          <w:spacing w:val="7"/>
          <w:lang w:eastAsia="it-IT"/>
        </w:rPr>
        <w:t xml:space="preserve"> - Dal 1° gennaio di quest’anno sono cambiate le regole per la tassazione dei veicoli aziendali concessi ai dipendenti in uso promiscuo, quindi sia per lavoro sia per esigenze personali. La legge di Bilancio 2025 ha infatti previsto nuove percentuali per determinare il valore del </w:t>
      </w:r>
      <w:r w:rsidRPr="005B753E">
        <w:rPr>
          <w:rFonts w:ascii="Open Sans" w:eastAsia="Times New Roman" w:hAnsi="Open Sans" w:cs="Open Sans"/>
          <w:i/>
          <w:iCs/>
          <w:spacing w:val="7"/>
          <w:lang w:eastAsia="it-IT"/>
        </w:rPr>
        <w:t>fringe benefit</w:t>
      </w:r>
      <w:r w:rsidRPr="005B753E">
        <w:rPr>
          <w:rFonts w:ascii="Open Sans" w:eastAsia="Times New Roman" w:hAnsi="Open Sans" w:cs="Open Sans"/>
          <w:spacing w:val="7"/>
          <w:lang w:eastAsia="it-IT"/>
        </w:rPr>
        <w:t>, differenziate in base all’impatto ambientale del mezzo.</w:t>
      </w:r>
    </w:p>
    <w:p w14:paraId="6CBD3E82" w14:textId="77777777" w:rsidR="005B753E" w:rsidRPr="005B753E" w:rsidRDefault="005B753E" w:rsidP="005B753E">
      <w:pPr>
        <w:shd w:val="clear" w:color="auto" w:fill="FFFFFF"/>
        <w:spacing w:after="375" w:line="270" w:lineRule="atLeast"/>
        <w:ind w:left="0"/>
        <w:rPr>
          <w:rFonts w:ascii="Open Sans" w:eastAsia="Times New Roman" w:hAnsi="Open Sans" w:cs="Open Sans"/>
          <w:spacing w:val="7"/>
          <w:lang w:eastAsia="it-IT"/>
        </w:rPr>
      </w:pPr>
      <w:r w:rsidRPr="005B753E">
        <w:rPr>
          <w:rFonts w:ascii="Open Sans" w:eastAsia="Times New Roman" w:hAnsi="Open Sans" w:cs="Open Sans"/>
          <w:spacing w:val="7"/>
          <w:lang w:eastAsia="it-IT"/>
        </w:rPr>
        <w:t>In particolare, per gli autoveicoli, motocicli e ciclomotori concessi con contratti stipulati dal 1° gennaio 2025 in poi, il valore del </w:t>
      </w:r>
      <w:r w:rsidRPr="005B753E">
        <w:rPr>
          <w:rFonts w:ascii="Open Sans" w:eastAsia="Times New Roman" w:hAnsi="Open Sans" w:cs="Open Sans"/>
          <w:i/>
          <w:iCs/>
          <w:spacing w:val="7"/>
          <w:lang w:eastAsia="it-IT"/>
        </w:rPr>
        <w:t>fringe benefit </w:t>
      </w:r>
      <w:r w:rsidRPr="005B753E">
        <w:rPr>
          <w:rFonts w:ascii="Open Sans" w:eastAsia="Times New Roman" w:hAnsi="Open Sans" w:cs="Open Sans"/>
          <w:spacing w:val="7"/>
          <w:lang w:eastAsia="it-IT"/>
        </w:rPr>
        <w:t>che concorre alla formazione del reddito da lavoro dipendente imponibile si determina applicando: </w:t>
      </w:r>
    </w:p>
    <w:p w14:paraId="33140361" w14:textId="77777777" w:rsidR="005B753E" w:rsidRPr="005B753E" w:rsidRDefault="005B753E" w:rsidP="005B753E">
      <w:pPr>
        <w:numPr>
          <w:ilvl w:val="0"/>
          <w:numId w:val="21"/>
        </w:numPr>
        <w:shd w:val="clear" w:color="auto" w:fill="FFFFFF"/>
        <w:spacing w:after="375" w:line="270" w:lineRule="atLeast"/>
        <w:contextualSpacing/>
        <w:rPr>
          <w:rFonts w:ascii="Open Sans" w:eastAsia="Times New Roman" w:hAnsi="Open Sans" w:cs="Open Sans"/>
          <w:spacing w:val="7"/>
          <w:lang w:eastAsia="it-IT"/>
        </w:rPr>
      </w:pPr>
      <w:r w:rsidRPr="005B753E">
        <w:rPr>
          <w:rFonts w:ascii="Open Sans" w:eastAsia="Times New Roman" w:hAnsi="Open Sans" w:cs="Open Sans"/>
          <w:spacing w:val="7"/>
          <w:lang w:eastAsia="it-IT"/>
        </w:rPr>
        <w:t>50% per la generalità dei veicoli;</w:t>
      </w:r>
    </w:p>
    <w:p w14:paraId="21D26759" w14:textId="77777777" w:rsidR="005B753E" w:rsidRPr="005B753E" w:rsidRDefault="005B753E" w:rsidP="005B753E">
      <w:pPr>
        <w:numPr>
          <w:ilvl w:val="0"/>
          <w:numId w:val="21"/>
        </w:numPr>
        <w:shd w:val="clear" w:color="auto" w:fill="FFFFFF"/>
        <w:spacing w:after="375" w:line="270" w:lineRule="atLeast"/>
        <w:contextualSpacing/>
        <w:rPr>
          <w:rFonts w:ascii="Open Sans" w:eastAsia="Times New Roman" w:hAnsi="Open Sans" w:cs="Open Sans"/>
          <w:spacing w:val="7"/>
          <w:lang w:eastAsia="it-IT"/>
        </w:rPr>
      </w:pPr>
      <w:r w:rsidRPr="005B753E">
        <w:rPr>
          <w:rFonts w:ascii="Open Sans" w:eastAsia="Times New Roman" w:hAnsi="Open Sans" w:cs="Open Sans"/>
          <w:spacing w:val="7"/>
          <w:lang w:eastAsia="it-IT"/>
        </w:rPr>
        <w:t>20% per i veicoli elettrici ibridi plug in;</w:t>
      </w:r>
    </w:p>
    <w:p w14:paraId="1FD38345" w14:textId="77777777" w:rsidR="005B753E" w:rsidRPr="008271E4" w:rsidRDefault="005B753E" w:rsidP="005B753E">
      <w:pPr>
        <w:numPr>
          <w:ilvl w:val="0"/>
          <w:numId w:val="21"/>
        </w:numPr>
        <w:shd w:val="clear" w:color="auto" w:fill="FFFFFF"/>
        <w:spacing w:after="375" w:line="270" w:lineRule="atLeast"/>
        <w:contextualSpacing/>
        <w:rPr>
          <w:rFonts w:ascii="Open Sans" w:eastAsia="Times New Roman" w:hAnsi="Open Sans" w:cs="Open Sans"/>
          <w:spacing w:val="7"/>
          <w:lang w:eastAsia="it-IT"/>
        </w:rPr>
      </w:pPr>
      <w:r w:rsidRPr="005B753E">
        <w:rPr>
          <w:rFonts w:ascii="Open Sans" w:eastAsia="Times New Roman" w:hAnsi="Open Sans" w:cs="Open Sans"/>
          <w:spacing w:val="7"/>
          <w:lang w:eastAsia="it-IT"/>
        </w:rPr>
        <w:t>10% per i veicoli a batteria a trazione esclusivamente elettrica</w:t>
      </w:r>
    </w:p>
    <w:p w14:paraId="6673311E" w14:textId="77777777" w:rsidR="008271E4" w:rsidRPr="005B753E" w:rsidRDefault="008271E4" w:rsidP="008271E4">
      <w:pPr>
        <w:shd w:val="clear" w:color="auto" w:fill="FFFFFF"/>
        <w:spacing w:after="375" w:line="270" w:lineRule="atLeast"/>
        <w:ind w:left="720"/>
        <w:contextualSpacing/>
        <w:rPr>
          <w:rFonts w:ascii="Open Sans" w:eastAsia="Times New Roman" w:hAnsi="Open Sans" w:cs="Open Sans"/>
          <w:spacing w:val="7"/>
          <w:lang w:eastAsia="it-IT"/>
        </w:rPr>
      </w:pPr>
    </w:p>
    <w:p w14:paraId="105FC1EA" w14:textId="77777777" w:rsidR="005B753E" w:rsidRPr="005B753E" w:rsidRDefault="005B753E" w:rsidP="005B753E">
      <w:pPr>
        <w:shd w:val="clear" w:color="auto" w:fill="FFFFFF"/>
        <w:spacing w:after="375" w:line="270" w:lineRule="atLeast"/>
        <w:ind w:left="0"/>
        <w:rPr>
          <w:rFonts w:ascii="Open Sans" w:eastAsia="Times New Roman" w:hAnsi="Open Sans" w:cs="Open Sans"/>
          <w:spacing w:val="7"/>
          <w:lang w:eastAsia="it-IT"/>
        </w:rPr>
      </w:pPr>
      <w:r w:rsidRPr="005B753E">
        <w:rPr>
          <w:rFonts w:ascii="Open Sans" w:eastAsia="Times New Roman" w:hAnsi="Open Sans" w:cs="Open Sans"/>
          <w:spacing w:val="7"/>
          <w:lang w:eastAsia="it-IT"/>
        </w:rPr>
        <w:t>Tale sistema, tuttavia, si applica esclusivamente ai veicoli che rispettino congiuntamente i seguenti tre requisiti:</w:t>
      </w:r>
    </w:p>
    <w:p w14:paraId="449EEB4D" w14:textId="73044D98" w:rsidR="005B753E" w:rsidRPr="008271E4" w:rsidRDefault="008271E4" w:rsidP="008271E4">
      <w:pPr>
        <w:shd w:val="clear" w:color="auto" w:fill="FFFFFF"/>
        <w:spacing w:line="270" w:lineRule="atLeast"/>
        <w:ind w:left="0"/>
        <w:rPr>
          <w:rFonts w:ascii="Open Sans" w:eastAsia="Times New Roman" w:hAnsi="Open Sans" w:cs="Open Sans"/>
          <w:spacing w:val="7"/>
          <w:lang w:eastAsia="it-IT"/>
        </w:rPr>
      </w:pPr>
      <w:r w:rsidRPr="008271E4">
        <w:rPr>
          <w:rFonts w:ascii="Open Sans" w:eastAsia="Times New Roman" w:hAnsi="Open Sans" w:cs="Open Sans"/>
          <w:spacing w:val="7"/>
          <w:lang w:eastAsia="it-IT"/>
        </w:rPr>
        <w:t xml:space="preserve">1) </w:t>
      </w:r>
      <w:r w:rsidR="005B753E" w:rsidRPr="008271E4">
        <w:rPr>
          <w:rFonts w:ascii="Open Sans" w:eastAsia="Times New Roman" w:hAnsi="Open Sans" w:cs="Open Sans"/>
          <w:spacing w:val="7"/>
          <w:lang w:eastAsia="it-IT"/>
        </w:rPr>
        <w:t>siano stati immatricolati a decorrere dal 1° gennaio 2025;</w:t>
      </w:r>
    </w:p>
    <w:p w14:paraId="797E7397" w14:textId="54C23DF3" w:rsidR="008271E4" w:rsidRPr="008271E4" w:rsidRDefault="008271E4" w:rsidP="008271E4">
      <w:pPr>
        <w:shd w:val="clear" w:color="auto" w:fill="FFFFFF"/>
        <w:spacing w:line="270" w:lineRule="atLeast"/>
        <w:ind w:left="284" w:hanging="284"/>
        <w:rPr>
          <w:rFonts w:ascii="Open Sans" w:eastAsia="Times New Roman" w:hAnsi="Open Sans" w:cs="Open Sans"/>
          <w:spacing w:val="7"/>
          <w:lang w:eastAsia="it-IT"/>
        </w:rPr>
      </w:pPr>
      <w:r w:rsidRPr="008271E4">
        <w:rPr>
          <w:rFonts w:ascii="Open Sans" w:eastAsia="Times New Roman" w:hAnsi="Open Sans" w:cs="Open Sans"/>
          <w:spacing w:val="7"/>
          <w:lang w:eastAsia="it-IT"/>
        </w:rPr>
        <w:t>2) s</w:t>
      </w:r>
      <w:r w:rsidR="005B753E" w:rsidRPr="005B753E">
        <w:rPr>
          <w:rFonts w:ascii="Open Sans" w:eastAsia="Times New Roman" w:hAnsi="Open Sans" w:cs="Open Sans"/>
          <w:spacing w:val="7"/>
          <w:lang w:eastAsia="it-IT"/>
        </w:rPr>
        <w:t>iano stati concessi in uso promiscuo ai lavoratori con contratti stipulati a decorrere dal 1° gennaio 2025;</w:t>
      </w:r>
    </w:p>
    <w:p w14:paraId="189852EA" w14:textId="40A02FA5" w:rsidR="005B753E" w:rsidRPr="008271E4" w:rsidRDefault="008271E4" w:rsidP="008271E4">
      <w:pPr>
        <w:shd w:val="clear" w:color="auto" w:fill="FFFFFF"/>
        <w:spacing w:line="270" w:lineRule="atLeast"/>
        <w:ind w:left="426" w:hanging="426"/>
        <w:rPr>
          <w:rFonts w:ascii="Open Sans" w:eastAsia="Times New Roman" w:hAnsi="Open Sans" w:cs="Open Sans"/>
          <w:spacing w:val="7"/>
          <w:lang w:eastAsia="it-IT"/>
        </w:rPr>
      </w:pPr>
      <w:r w:rsidRPr="008271E4">
        <w:rPr>
          <w:rFonts w:ascii="Open Sans" w:eastAsia="Times New Roman" w:hAnsi="Open Sans" w:cs="Open Sans"/>
          <w:spacing w:val="7"/>
          <w:lang w:eastAsia="it-IT"/>
        </w:rPr>
        <w:t xml:space="preserve">3) </w:t>
      </w:r>
      <w:r w:rsidR="005B753E" w:rsidRPr="005B753E">
        <w:rPr>
          <w:rFonts w:ascii="Open Sans" w:eastAsia="Times New Roman" w:hAnsi="Open Sans" w:cs="Open Sans"/>
          <w:spacing w:val="7"/>
          <w:lang w:eastAsia="it-IT"/>
        </w:rPr>
        <w:t>siano stati assegnati ai lavoratori a decorrere dal 1° gennaio 2025,</w:t>
      </w:r>
    </w:p>
    <w:p w14:paraId="51C5E695" w14:textId="77777777" w:rsidR="008271E4" w:rsidRPr="005B753E" w:rsidRDefault="008271E4" w:rsidP="008271E4">
      <w:pPr>
        <w:shd w:val="clear" w:color="auto" w:fill="FFFFFF"/>
        <w:spacing w:line="270" w:lineRule="atLeast"/>
        <w:ind w:left="426" w:hanging="426"/>
        <w:rPr>
          <w:rFonts w:ascii="Open Sans" w:eastAsia="Times New Roman" w:hAnsi="Open Sans" w:cs="Open Sans"/>
          <w:spacing w:val="7"/>
          <w:lang w:eastAsia="it-IT"/>
        </w:rPr>
      </w:pPr>
    </w:p>
    <w:p w14:paraId="26B18D96" w14:textId="77777777" w:rsidR="005B753E" w:rsidRPr="005B753E" w:rsidRDefault="005B753E" w:rsidP="005B753E">
      <w:pPr>
        <w:shd w:val="clear" w:color="auto" w:fill="FFFFFF"/>
        <w:spacing w:after="375" w:line="270" w:lineRule="atLeast"/>
        <w:ind w:left="0"/>
        <w:rPr>
          <w:rFonts w:ascii="Open Sans" w:eastAsia="Times New Roman" w:hAnsi="Open Sans" w:cs="Open Sans"/>
          <w:spacing w:val="7"/>
          <w:lang w:eastAsia="it-IT"/>
        </w:rPr>
      </w:pPr>
      <w:r w:rsidRPr="005B753E">
        <w:rPr>
          <w:rFonts w:ascii="Open Sans" w:eastAsia="Times New Roman" w:hAnsi="Open Sans" w:cs="Open Sans"/>
          <w:b/>
          <w:bCs/>
          <w:spacing w:val="7"/>
          <w:lang w:eastAsia="it-IT"/>
        </w:rPr>
        <w:t>Il periodo transitorio</w:t>
      </w:r>
      <w:r w:rsidRPr="005B753E">
        <w:rPr>
          <w:rFonts w:ascii="Titillium Web" w:hAnsi="Titillium Web"/>
          <w:color w:val="1A1A1A"/>
          <w:sz w:val="20"/>
          <w:szCs w:val="20"/>
          <w:shd w:val="clear" w:color="auto" w:fill="FFFFFF"/>
        </w:rPr>
        <w:t xml:space="preserve"> - </w:t>
      </w:r>
      <w:r w:rsidRPr="005B753E">
        <w:rPr>
          <w:rFonts w:ascii="Open Sans" w:eastAsia="Times New Roman" w:hAnsi="Open Sans" w:cs="Open Sans"/>
          <w:spacing w:val="7"/>
          <w:lang w:eastAsia="it-IT"/>
        </w:rPr>
        <w:t>Per garantire una graduale applicazione delle nuove disposizioni il Legislatore ha previsto, in specifiche condizioni, la possibilità di applicare, anche nel primo semestre 2025, le vecchie percentuali per la determinazione dei valori che costituiscono </w:t>
      </w:r>
      <w:r w:rsidRPr="005B753E">
        <w:rPr>
          <w:rFonts w:ascii="Open Sans" w:eastAsia="Times New Roman" w:hAnsi="Open Sans" w:cs="Open Sans"/>
          <w:i/>
          <w:iCs/>
          <w:spacing w:val="7"/>
          <w:lang w:eastAsia="it-IT"/>
        </w:rPr>
        <w:t>fringe benefit</w:t>
      </w:r>
      <w:r w:rsidRPr="005B753E">
        <w:rPr>
          <w:rFonts w:ascii="Open Sans" w:eastAsia="Times New Roman" w:hAnsi="Open Sans" w:cs="Open Sans"/>
          <w:spacing w:val="7"/>
          <w:lang w:eastAsia="it-IT"/>
        </w:rPr>
        <w:t xml:space="preserve">. In particolare, resta valido il sistema di tassazione previsto fino al 31 dicembre 2024, non solo per i veicoli concessi in uso promiscuo ai dipendenti tra il 1° luglio 2020 e il 31 dicembre 2024, fino alla naturale scadenza dei contratti, ma </w:t>
      </w:r>
      <w:r w:rsidRPr="005B753E">
        <w:rPr>
          <w:rFonts w:ascii="Open Sans" w:eastAsia="Times New Roman" w:hAnsi="Open Sans" w:cs="Open Sans"/>
          <w:spacing w:val="7"/>
          <w:u w:val="single"/>
          <w:lang w:eastAsia="it-IT"/>
        </w:rPr>
        <w:t>anche per i veicoli ordinati dal datore di lavoro entro il 31 dicembre 2024 e consegnati al dipendente tra il 1° gennaio e il 30 giugno 2025.</w:t>
      </w:r>
      <w:r w:rsidRPr="005B753E">
        <w:rPr>
          <w:rFonts w:ascii="Open Sans" w:eastAsia="Times New Roman" w:hAnsi="Open Sans" w:cs="Open Sans"/>
          <w:spacing w:val="7"/>
          <w:lang w:eastAsia="it-IT"/>
        </w:rPr>
        <w:t xml:space="preserve"> La circolare precisa inoltre che, qualora il veicolo ordinato entro la fine del 2024, in relazione al quale i requisiti di immatricolazione, stipulazione del contratto e consegna si siano verificati dal 1° gennaio al 30 giugno 2025, rientri tra quelli a basse emissioni che beneficiano di nuove percentuali più favorevoli (10% per gli elettrici, 20% per gli ibridi</w:t>
      </w:r>
      <w:r w:rsidRPr="005B753E">
        <w:rPr>
          <w:rFonts w:ascii="Open Sans" w:eastAsia="Times New Roman" w:hAnsi="Open Sans" w:cs="Open Sans"/>
          <w:i/>
          <w:iCs/>
          <w:spacing w:val="7"/>
          <w:lang w:eastAsia="it-IT"/>
        </w:rPr>
        <w:t> plug-in</w:t>
      </w:r>
      <w:r w:rsidRPr="005B753E">
        <w:rPr>
          <w:rFonts w:ascii="Open Sans" w:eastAsia="Times New Roman" w:hAnsi="Open Sans" w:cs="Open Sans"/>
          <w:spacing w:val="7"/>
          <w:lang w:eastAsia="it-IT"/>
        </w:rPr>
        <w:t>), si ritiene applicabile il nuovo sistema più vantaggioso.</w:t>
      </w:r>
    </w:p>
    <w:p w14:paraId="04917E46" w14:textId="77777777" w:rsidR="005B753E" w:rsidRPr="005B753E" w:rsidRDefault="005B753E" w:rsidP="005B753E">
      <w:pPr>
        <w:shd w:val="clear" w:color="auto" w:fill="FFFFFF"/>
        <w:spacing w:after="375" w:line="270" w:lineRule="atLeast"/>
        <w:ind w:left="0"/>
        <w:rPr>
          <w:rFonts w:ascii="Open Sans" w:eastAsia="Times New Roman" w:hAnsi="Open Sans" w:cs="Open Sans"/>
          <w:spacing w:val="7"/>
          <w:lang w:eastAsia="it-IT"/>
        </w:rPr>
      </w:pPr>
      <w:r w:rsidRPr="005B753E">
        <w:rPr>
          <w:rFonts w:ascii="Open Sans" w:eastAsia="Times New Roman" w:hAnsi="Open Sans" w:cs="Open Sans"/>
          <w:spacing w:val="7"/>
          <w:lang w:eastAsia="it-IT"/>
        </w:rPr>
        <w:t>L’Agenzia delle Entrate, con risposta all’interpello n.192/2025, ha chiarito che per poter accedere alla disciplina transitoria sui fringe benefit legati alle auto aziendali, il requisito relativo alla data di concessione vada interpretato come il momento in cui il veicolo è consegnato al dipendente.</w:t>
      </w:r>
    </w:p>
    <w:p w14:paraId="5CA6018B" w14:textId="77777777" w:rsidR="005B753E" w:rsidRPr="005B753E" w:rsidRDefault="005B753E" w:rsidP="005B753E">
      <w:pPr>
        <w:shd w:val="clear" w:color="auto" w:fill="FFFFFF"/>
        <w:spacing w:after="375" w:line="270" w:lineRule="atLeast"/>
        <w:ind w:left="0"/>
        <w:rPr>
          <w:rFonts w:ascii="Open Sans" w:eastAsia="Times New Roman" w:hAnsi="Open Sans" w:cs="Open Sans"/>
          <w:spacing w:val="7"/>
          <w:lang w:eastAsia="it-IT"/>
        </w:rPr>
      </w:pPr>
      <w:r w:rsidRPr="005B753E">
        <w:rPr>
          <w:rFonts w:ascii="Open Sans" w:eastAsia="Times New Roman" w:hAnsi="Open Sans" w:cs="Open Sans"/>
          <w:spacing w:val="7"/>
          <w:lang w:eastAsia="it-IT"/>
        </w:rPr>
        <w:t>In questo caso non assume nessuna rilevanza la data di stipula del contratto di assegnazione del veicolo, rilevante invece assieme ad altre variabili, per poter applicare il valore forfettario introdotto dal 1° gennaio 2025.</w:t>
      </w:r>
    </w:p>
    <w:p w14:paraId="7C2B7656" w14:textId="186E5E68" w:rsidR="008271E4" w:rsidRDefault="005B753E" w:rsidP="005B753E">
      <w:pPr>
        <w:shd w:val="clear" w:color="auto" w:fill="FFFFFF"/>
        <w:spacing w:after="375" w:line="270" w:lineRule="atLeast"/>
        <w:ind w:left="0"/>
        <w:rPr>
          <w:rFonts w:ascii="Open Sans" w:eastAsia="Times New Roman" w:hAnsi="Open Sans" w:cs="Open Sans"/>
          <w:spacing w:val="7"/>
          <w:lang w:eastAsia="it-IT"/>
        </w:rPr>
      </w:pPr>
      <w:r w:rsidRPr="005B753E">
        <w:rPr>
          <w:rFonts w:ascii="Open Sans" w:eastAsia="Times New Roman" w:hAnsi="Open Sans" w:cs="Open Sans"/>
          <w:spacing w:val="7"/>
          <w:lang w:eastAsia="it-IT"/>
        </w:rPr>
        <w:t>A seguire uno schema riassuntivo delle diverse regole applicabili per la determinazione del “fringe benefit” dei veicoli concessi in uso promiscuo ai dipendenti:</w:t>
      </w:r>
    </w:p>
    <w:p w14:paraId="5D288D3A" w14:textId="77777777" w:rsidR="008271E4" w:rsidRDefault="008271E4">
      <w:pPr>
        <w:spacing w:after="200"/>
        <w:ind w:left="0"/>
        <w:jc w:val="left"/>
        <w:rPr>
          <w:rFonts w:ascii="Open Sans" w:eastAsia="Times New Roman" w:hAnsi="Open Sans" w:cs="Open Sans"/>
          <w:spacing w:val="7"/>
          <w:lang w:eastAsia="it-IT"/>
        </w:rPr>
      </w:pPr>
      <w:r>
        <w:rPr>
          <w:rFonts w:ascii="Open Sans" w:eastAsia="Times New Roman" w:hAnsi="Open Sans" w:cs="Open Sans"/>
          <w:spacing w:val="7"/>
          <w:lang w:eastAsia="it-IT"/>
        </w:rPr>
        <w:br w:type="page"/>
      </w:r>
    </w:p>
    <w:p w14:paraId="4AB838F8" w14:textId="77777777" w:rsidR="005B753E" w:rsidRPr="005B753E" w:rsidRDefault="005B753E" w:rsidP="005B753E">
      <w:pPr>
        <w:shd w:val="clear" w:color="auto" w:fill="FFFFFF"/>
        <w:spacing w:after="375" w:line="270" w:lineRule="atLeast"/>
        <w:ind w:left="0"/>
        <w:rPr>
          <w:rFonts w:ascii="Open Sans" w:eastAsia="Times New Roman" w:hAnsi="Open Sans" w:cs="Open Sans"/>
          <w:spacing w:val="7"/>
          <w:lang w:eastAsia="it-IT"/>
        </w:rPr>
      </w:pPr>
    </w:p>
    <w:tbl>
      <w:tblPr>
        <w:tblW w:w="10632" w:type="dxa"/>
        <w:tblInd w:w="-292" w:type="dxa"/>
        <w:tblBorders>
          <w:top w:val="single" w:sz="6" w:space="0" w:color="000B12"/>
          <w:left w:val="single" w:sz="6" w:space="0" w:color="000B12"/>
          <w:bottom w:val="single" w:sz="6" w:space="0" w:color="000B12"/>
          <w:right w:val="single" w:sz="6" w:space="0" w:color="000B12"/>
        </w:tblBorders>
        <w:shd w:val="clear" w:color="auto" w:fill="FFFFFF"/>
        <w:tblCellMar>
          <w:top w:w="15" w:type="dxa"/>
          <w:left w:w="15" w:type="dxa"/>
          <w:bottom w:w="15" w:type="dxa"/>
          <w:right w:w="15" w:type="dxa"/>
        </w:tblCellMar>
        <w:tblLook w:val="04A0" w:firstRow="1" w:lastRow="0" w:firstColumn="1" w:lastColumn="0" w:noHBand="0" w:noVBand="1"/>
      </w:tblPr>
      <w:tblGrid>
        <w:gridCol w:w="2127"/>
        <w:gridCol w:w="2552"/>
        <w:gridCol w:w="5953"/>
      </w:tblGrid>
      <w:tr w:rsidR="005B753E" w:rsidRPr="005B753E" w14:paraId="47469530" w14:textId="77777777" w:rsidTr="00417D70">
        <w:tc>
          <w:tcPr>
            <w:tcW w:w="2127" w:type="dxa"/>
            <w:tcBorders>
              <w:top w:val="single" w:sz="6" w:space="0" w:color="000B12"/>
              <w:left w:val="single" w:sz="6" w:space="0" w:color="000B12"/>
              <w:bottom w:val="single" w:sz="6" w:space="0" w:color="000B12"/>
              <w:right w:val="single" w:sz="6" w:space="0" w:color="000B12"/>
            </w:tcBorders>
            <w:shd w:val="clear" w:color="auto" w:fill="FFFFFF"/>
            <w:tcMar>
              <w:top w:w="120" w:type="dxa"/>
              <w:left w:w="120" w:type="dxa"/>
              <w:bottom w:w="120" w:type="dxa"/>
              <w:right w:w="120" w:type="dxa"/>
            </w:tcMar>
            <w:vAlign w:val="center"/>
            <w:hideMark/>
          </w:tcPr>
          <w:p w14:paraId="2A67BEC0" w14:textId="77777777" w:rsidR="005B753E" w:rsidRPr="005B753E" w:rsidRDefault="005B753E" w:rsidP="005B753E">
            <w:pPr>
              <w:pBdr>
                <w:top w:val="single" w:sz="2" w:space="0" w:color="E5E7EB"/>
                <w:left w:val="single" w:sz="2" w:space="0" w:color="E5E7EB"/>
                <w:bottom w:val="single" w:sz="2" w:space="0" w:color="E5E7EB"/>
                <w:right w:val="single" w:sz="2" w:space="0" w:color="E5E7EB"/>
              </w:pBdr>
              <w:ind w:left="0"/>
              <w:jc w:val="left"/>
              <w:rPr>
                <w:rFonts w:ascii="Quattrocento Sans" w:eastAsia="Times New Roman" w:hAnsi="Quattrocento Sans"/>
                <w:color w:val="000000"/>
                <w:sz w:val="18"/>
                <w:szCs w:val="18"/>
                <w:lang w:eastAsia="it-IT"/>
              </w:rPr>
            </w:pPr>
            <w:r w:rsidRPr="005B753E">
              <w:rPr>
                <w:rFonts w:ascii="Quattrocento Sans" w:eastAsia="Times New Roman" w:hAnsi="Quattrocento Sans"/>
                <w:b/>
                <w:bCs/>
                <w:color w:val="000000"/>
                <w:sz w:val="18"/>
                <w:szCs w:val="18"/>
                <w:bdr w:val="single" w:sz="2" w:space="0" w:color="E5E7EB" w:frame="1"/>
                <w:lang w:eastAsia="it-IT"/>
              </w:rPr>
              <w:t>Data</w:t>
            </w:r>
          </w:p>
        </w:tc>
        <w:tc>
          <w:tcPr>
            <w:tcW w:w="8505" w:type="dxa"/>
            <w:gridSpan w:val="2"/>
            <w:tcBorders>
              <w:top w:val="single" w:sz="6" w:space="0" w:color="000B12"/>
              <w:left w:val="single" w:sz="6" w:space="0" w:color="000B12"/>
              <w:bottom w:val="single" w:sz="6" w:space="0" w:color="000B12"/>
              <w:right w:val="single" w:sz="6" w:space="0" w:color="000B12"/>
            </w:tcBorders>
            <w:shd w:val="clear" w:color="auto" w:fill="FFFFFF"/>
            <w:tcMar>
              <w:top w:w="120" w:type="dxa"/>
              <w:left w:w="120" w:type="dxa"/>
              <w:bottom w:w="120" w:type="dxa"/>
              <w:right w:w="120" w:type="dxa"/>
            </w:tcMar>
            <w:vAlign w:val="center"/>
            <w:hideMark/>
          </w:tcPr>
          <w:p w14:paraId="690D88D0" w14:textId="77777777" w:rsidR="005B753E" w:rsidRPr="005B753E" w:rsidRDefault="005B753E" w:rsidP="005B753E">
            <w:pPr>
              <w:pBdr>
                <w:top w:val="single" w:sz="2" w:space="0" w:color="E5E7EB"/>
                <w:left w:val="single" w:sz="2" w:space="0" w:color="E5E7EB"/>
                <w:bottom w:val="single" w:sz="2" w:space="0" w:color="E5E7EB"/>
                <w:right w:val="single" w:sz="2" w:space="0" w:color="E5E7EB"/>
              </w:pBdr>
              <w:ind w:left="0"/>
              <w:jc w:val="left"/>
              <w:rPr>
                <w:rFonts w:ascii="Quattrocento Sans" w:eastAsia="Times New Roman" w:hAnsi="Quattrocento Sans"/>
                <w:color w:val="000000"/>
                <w:sz w:val="18"/>
                <w:szCs w:val="18"/>
                <w:lang w:eastAsia="it-IT"/>
              </w:rPr>
            </w:pPr>
            <w:r w:rsidRPr="005B753E">
              <w:rPr>
                <w:rFonts w:ascii="Quattrocento Sans" w:eastAsia="Times New Roman" w:hAnsi="Quattrocento Sans"/>
                <w:b/>
                <w:bCs/>
                <w:color w:val="000000"/>
                <w:sz w:val="18"/>
                <w:szCs w:val="18"/>
                <w:bdr w:val="single" w:sz="2" w:space="0" w:color="E5E7EB" w:frame="1"/>
                <w:lang w:eastAsia="it-IT"/>
              </w:rPr>
              <w:t>Disciplina applicabile e ammontare fringe benefit</w:t>
            </w:r>
          </w:p>
        </w:tc>
      </w:tr>
      <w:tr w:rsidR="005B753E" w:rsidRPr="005B753E" w14:paraId="17353249" w14:textId="77777777" w:rsidTr="00417D70">
        <w:tc>
          <w:tcPr>
            <w:tcW w:w="2127" w:type="dxa"/>
            <w:tcBorders>
              <w:top w:val="single" w:sz="6" w:space="0" w:color="000B12"/>
              <w:left w:val="single" w:sz="6" w:space="0" w:color="000B12"/>
              <w:bottom w:val="single" w:sz="6" w:space="0" w:color="000B12"/>
              <w:right w:val="single" w:sz="6" w:space="0" w:color="000B12"/>
            </w:tcBorders>
            <w:shd w:val="clear" w:color="auto" w:fill="FFFFFF"/>
            <w:tcMar>
              <w:top w:w="120" w:type="dxa"/>
              <w:left w:w="120" w:type="dxa"/>
              <w:bottom w:w="120" w:type="dxa"/>
              <w:right w:w="120" w:type="dxa"/>
            </w:tcMar>
            <w:vAlign w:val="center"/>
            <w:hideMark/>
          </w:tcPr>
          <w:p w14:paraId="79D6356A" w14:textId="77777777" w:rsidR="005B753E" w:rsidRPr="005B753E" w:rsidRDefault="005B753E" w:rsidP="005B753E">
            <w:pPr>
              <w:pBdr>
                <w:top w:val="single" w:sz="2" w:space="0" w:color="E5E7EB"/>
                <w:left w:val="single" w:sz="2" w:space="0" w:color="E5E7EB"/>
                <w:bottom w:val="single" w:sz="2" w:space="0" w:color="E5E7EB"/>
                <w:right w:val="single" w:sz="2" w:space="0" w:color="E5E7EB"/>
              </w:pBdr>
              <w:ind w:left="0"/>
              <w:jc w:val="left"/>
              <w:rPr>
                <w:rFonts w:ascii="Quattrocento Sans" w:eastAsia="Times New Roman" w:hAnsi="Quattrocento Sans"/>
                <w:color w:val="000000"/>
                <w:sz w:val="18"/>
                <w:szCs w:val="18"/>
                <w:lang w:eastAsia="it-IT"/>
              </w:rPr>
            </w:pPr>
            <w:r w:rsidRPr="005B753E">
              <w:rPr>
                <w:rFonts w:ascii="Quattrocento Sans" w:eastAsia="Times New Roman" w:hAnsi="Quattrocento Sans"/>
                <w:color w:val="000000"/>
                <w:sz w:val="18"/>
                <w:szCs w:val="18"/>
                <w:lang w:eastAsia="it-IT"/>
              </w:rPr>
              <w:t>Immatricolazione e assegnazione </w:t>
            </w:r>
            <w:r w:rsidRPr="005B753E">
              <w:rPr>
                <w:rFonts w:ascii="Quattrocento Sans" w:eastAsia="Times New Roman" w:hAnsi="Quattrocento Sans"/>
                <w:b/>
                <w:bCs/>
                <w:color w:val="000000"/>
                <w:sz w:val="18"/>
                <w:szCs w:val="18"/>
                <w:bdr w:val="single" w:sz="2" w:space="0" w:color="E5E7EB" w:frame="1"/>
                <w:lang w:eastAsia="it-IT"/>
              </w:rPr>
              <w:t>fino al 30.6.2020</w:t>
            </w:r>
          </w:p>
        </w:tc>
        <w:tc>
          <w:tcPr>
            <w:tcW w:w="8505" w:type="dxa"/>
            <w:gridSpan w:val="2"/>
            <w:tcBorders>
              <w:top w:val="single" w:sz="6" w:space="0" w:color="000B12"/>
              <w:left w:val="single" w:sz="6" w:space="0" w:color="000B12"/>
              <w:bottom w:val="single" w:sz="6" w:space="0" w:color="000B12"/>
              <w:right w:val="single" w:sz="6" w:space="0" w:color="000B12"/>
            </w:tcBorders>
            <w:shd w:val="clear" w:color="auto" w:fill="FFFFFF"/>
            <w:tcMar>
              <w:top w:w="120" w:type="dxa"/>
              <w:left w:w="120" w:type="dxa"/>
              <w:bottom w:w="120" w:type="dxa"/>
              <w:right w:w="120" w:type="dxa"/>
            </w:tcMar>
            <w:vAlign w:val="center"/>
            <w:hideMark/>
          </w:tcPr>
          <w:p w14:paraId="29CC21B0" w14:textId="77777777" w:rsidR="005B753E" w:rsidRPr="005B753E" w:rsidRDefault="005B753E" w:rsidP="005B753E">
            <w:pPr>
              <w:pBdr>
                <w:top w:val="single" w:sz="2" w:space="0" w:color="E5E7EB"/>
                <w:left w:val="single" w:sz="2" w:space="0" w:color="E5E7EB"/>
                <w:bottom w:val="single" w:sz="2" w:space="0" w:color="E5E7EB"/>
                <w:right w:val="single" w:sz="2" w:space="0" w:color="E5E7EB"/>
              </w:pBdr>
              <w:ind w:left="0"/>
              <w:jc w:val="left"/>
              <w:rPr>
                <w:rFonts w:ascii="Quattrocento Sans" w:eastAsia="Times New Roman" w:hAnsi="Quattrocento Sans"/>
                <w:color w:val="000000"/>
                <w:sz w:val="18"/>
                <w:szCs w:val="18"/>
                <w:lang w:eastAsia="it-IT"/>
              </w:rPr>
            </w:pPr>
            <w:r w:rsidRPr="005B753E">
              <w:rPr>
                <w:rFonts w:ascii="Quattrocento Sans" w:eastAsia="Times New Roman" w:hAnsi="Quattrocento Sans"/>
                <w:b/>
                <w:bCs/>
                <w:color w:val="000000"/>
                <w:sz w:val="18"/>
                <w:szCs w:val="18"/>
                <w:bdr w:val="single" w:sz="2" w:space="0" w:color="E5E7EB" w:frame="1"/>
                <w:lang w:eastAsia="it-IT"/>
              </w:rPr>
              <w:t>Art. 51, comma 4, TUIR </w:t>
            </w:r>
            <w:r w:rsidRPr="005B753E">
              <w:rPr>
                <w:rFonts w:ascii="Quattrocento Sans" w:eastAsia="Times New Roman" w:hAnsi="Quattrocento Sans"/>
                <w:color w:val="000000"/>
                <w:sz w:val="18"/>
                <w:szCs w:val="18"/>
                <w:lang w:eastAsia="it-IT"/>
              </w:rPr>
              <w:t>in vigore </w:t>
            </w:r>
            <w:r w:rsidRPr="005B753E">
              <w:rPr>
                <w:rFonts w:ascii="Quattrocento Sans" w:eastAsia="Times New Roman" w:hAnsi="Quattrocento Sans"/>
                <w:b/>
                <w:bCs/>
                <w:color w:val="000000"/>
                <w:sz w:val="18"/>
                <w:szCs w:val="18"/>
                <w:bdr w:val="single" w:sz="2" w:space="0" w:color="E5E7EB" w:frame="1"/>
                <w:lang w:eastAsia="it-IT"/>
              </w:rPr>
              <w:t xml:space="preserve">fino al 31.12.2019: </w:t>
            </w:r>
            <w:r w:rsidRPr="005B753E">
              <w:rPr>
                <w:rFonts w:ascii="Quattrocento Sans" w:eastAsia="Times New Roman" w:hAnsi="Quattrocento Sans"/>
                <w:color w:val="000000"/>
                <w:sz w:val="18"/>
                <w:szCs w:val="18"/>
                <w:lang w:eastAsia="it-IT"/>
              </w:rPr>
              <w:t>Tassazione del </w:t>
            </w:r>
            <w:r w:rsidRPr="005B753E">
              <w:rPr>
                <w:rFonts w:ascii="Quattrocento Sans" w:eastAsia="Times New Roman" w:hAnsi="Quattrocento Sans"/>
                <w:b/>
                <w:bCs/>
                <w:color w:val="000000"/>
                <w:sz w:val="18"/>
                <w:szCs w:val="18"/>
                <w:bdr w:val="single" w:sz="2" w:space="0" w:color="E5E7EB" w:frame="1"/>
                <w:lang w:eastAsia="it-IT"/>
              </w:rPr>
              <w:t>30% </w:t>
            </w:r>
            <w:r w:rsidRPr="005B753E">
              <w:rPr>
                <w:rFonts w:ascii="Quattrocento Sans" w:eastAsia="Times New Roman" w:hAnsi="Quattrocento Sans"/>
                <w:color w:val="000000"/>
                <w:sz w:val="18"/>
                <w:szCs w:val="18"/>
                <w:lang w:eastAsia="it-IT"/>
              </w:rPr>
              <w:t>dell’importo corrispondente alla percorrenza convenzionale di 15.000 Km in base al costo chilometrico ACI, al netto della somma trattenuta al dipendente.</w:t>
            </w:r>
          </w:p>
        </w:tc>
      </w:tr>
      <w:tr w:rsidR="005B753E" w:rsidRPr="005B753E" w14:paraId="52807DE5" w14:textId="77777777" w:rsidTr="00417D70">
        <w:tc>
          <w:tcPr>
            <w:tcW w:w="2127" w:type="dxa"/>
            <w:tcBorders>
              <w:top w:val="single" w:sz="6" w:space="0" w:color="000B12"/>
              <w:left w:val="single" w:sz="6" w:space="0" w:color="000B12"/>
              <w:bottom w:val="single" w:sz="6" w:space="0" w:color="000B12"/>
              <w:right w:val="single" w:sz="6" w:space="0" w:color="000B12"/>
            </w:tcBorders>
            <w:shd w:val="clear" w:color="auto" w:fill="FFFFFF"/>
            <w:tcMar>
              <w:top w:w="120" w:type="dxa"/>
              <w:left w:w="120" w:type="dxa"/>
              <w:bottom w:w="120" w:type="dxa"/>
              <w:right w:w="120" w:type="dxa"/>
            </w:tcMar>
            <w:vAlign w:val="center"/>
            <w:hideMark/>
          </w:tcPr>
          <w:p w14:paraId="6ED6C9B9" w14:textId="77777777" w:rsidR="005B753E" w:rsidRPr="005B753E" w:rsidRDefault="005B753E" w:rsidP="005B753E">
            <w:pPr>
              <w:pBdr>
                <w:top w:val="single" w:sz="2" w:space="0" w:color="E5E7EB"/>
                <w:left w:val="single" w:sz="2" w:space="0" w:color="E5E7EB"/>
                <w:bottom w:val="single" w:sz="2" w:space="0" w:color="E5E7EB"/>
                <w:right w:val="single" w:sz="2" w:space="0" w:color="E5E7EB"/>
              </w:pBdr>
              <w:ind w:left="0"/>
              <w:jc w:val="left"/>
              <w:rPr>
                <w:rFonts w:ascii="Quattrocento Sans" w:eastAsia="Times New Roman" w:hAnsi="Quattrocento Sans"/>
                <w:color w:val="000000"/>
                <w:sz w:val="18"/>
                <w:szCs w:val="18"/>
                <w:lang w:eastAsia="it-IT"/>
              </w:rPr>
            </w:pPr>
            <w:r w:rsidRPr="005B753E">
              <w:rPr>
                <w:rFonts w:ascii="Quattrocento Sans" w:eastAsia="Times New Roman" w:hAnsi="Quattrocento Sans"/>
                <w:color w:val="000000"/>
                <w:sz w:val="18"/>
                <w:szCs w:val="18"/>
                <w:lang w:eastAsia="it-IT"/>
              </w:rPr>
              <w:t>Immatricolazione </w:t>
            </w:r>
            <w:r w:rsidRPr="005B753E">
              <w:rPr>
                <w:rFonts w:ascii="Quattrocento Sans" w:eastAsia="Times New Roman" w:hAnsi="Quattrocento Sans"/>
                <w:b/>
                <w:bCs/>
                <w:color w:val="000000"/>
                <w:sz w:val="18"/>
                <w:szCs w:val="18"/>
                <w:bdr w:val="single" w:sz="2" w:space="0" w:color="E5E7EB" w:frame="1"/>
                <w:lang w:eastAsia="it-IT"/>
              </w:rPr>
              <w:t>fino al 30.6.2020</w:t>
            </w:r>
          </w:p>
        </w:tc>
        <w:tc>
          <w:tcPr>
            <w:tcW w:w="2552" w:type="dxa"/>
            <w:tcBorders>
              <w:top w:val="single" w:sz="6" w:space="0" w:color="000B12"/>
              <w:left w:val="single" w:sz="6" w:space="0" w:color="000B12"/>
              <w:bottom w:val="single" w:sz="6" w:space="0" w:color="000B12"/>
              <w:right w:val="single" w:sz="6" w:space="0" w:color="000B12"/>
            </w:tcBorders>
            <w:shd w:val="clear" w:color="auto" w:fill="FFFFFF"/>
            <w:tcMar>
              <w:top w:w="120" w:type="dxa"/>
              <w:left w:w="120" w:type="dxa"/>
              <w:bottom w:w="120" w:type="dxa"/>
              <w:right w:w="120" w:type="dxa"/>
            </w:tcMar>
            <w:vAlign w:val="center"/>
            <w:hideMark/>
          </w:tcPr>
          <w:p w14:paraId="4105A8AE" w14:textId="77777777" w:rsidR="005B753E" w:rsidRPr="005B753E" w:rsidRDefault="005B753E" w:rsidP="005B753E">
            <w:pPr>
              <w:pBdr>
                <w:top w:val="single" w:sz="2" w:space="0" w:color="E5E7EB"/>
                <w:left w:val="single" w:sz="2" w:space="0" w:color="E5E7EB"/>
                <w:bottom w:val="single" w:sz="2" w:space="0" w:color="E5E7EB"/>
                <w:right w:val="single" w:sz="2" w:space="0" w:color="E5E7EB"/>
              </w:pBdr>
              <w:ind w:left="0"/>
              <w:jc w:val="left"/>
              <w:rPr>
                <w:rFonts w:ascii="Quattrocento Sans" w:eastAsia="Times New Roman" w:hAnsi="Quattrocento Sans"/>
                <w:color w:val="000000"/>
                <w:sz w:val="18"/>
                <w:szCs w:val="18"/>
                <w:lang w:eastAsia="it-IT"/>
              </w:rPr>
            </w:pPr>
            <w:r w:rsidRPr="005B753E">
              <w:rPr>
                <w:rFonts w:ascii="Quattrocento Sans" w:eastAsia="Times New Roman" w:hAnsi="Quattrocento Sans"/>
                <w:color w:val="000000"/>
                <w:sz w:val="18"/>
                <w:szCs w:val="18"/>
                <w:lang w:eastAsia="it-IT"/>
              </w:rPr>
              <w:t>Assegnazione </w:t>
            </w:r>
            <w:r w:rsidRPr="005B753E">
              <w:rPr>
                <w:rFonts w:ascii="Quattrocento Sans" w:eastAsia="Times New Roman" w:hAnsi="Quattrocento Sans"/>
                <w:b/>
                <w:bCs/>
                <w:color w:val="000000"/>
                <w:sz w:val="18"/>
                <w:szCs w:val="18"/>
                <w:bdr w:val="single" w:sz="2" w:space="0" w:color="E5E7EB" w:frame="1"/>
                <w:lang w:eastAsia="it-IT"/>
              </w:rPr>
              <w:t>dall’1.7.2020</w:t>
            </w:r>
          </w:p>
        </w:tc>
        <w:tc>
          <w:tcPr>
            <w:tcW w:w="5953" w:type="dxa"/>
            <w:tcBorders>
              <w:top w:val="single" w:sz="6" w:space="0" w:color="000B12"/>
              <w:left w:val="single" w:sz="6" w:space="0" w:color="000B12"/>
              <w:bottom w:val="single" w:sz="6" w:space="0" w:color="000B12"/>
              <w:right w:val="single" w:sz="6" w:space="0" w:color="000B12"/>
            </w:tcBorders>
            <w:shd w:val="clear" w:color="auto" w:fill="FFFFFF"/>
            <w:tcMar>
              <w:top w:w="120" w:type="dxa"/>
              <w:left w:w="120" w:type="dxa"/>
              <w:bottom w:w="120" w:type="dxa"/>
              <w:right w:w="120" w:type="dxa"/>
            </w:tcMar>
            <w:vAlign w:val="center"/>
            <w:hideMark/>
          </w:tcPr>
          <w:p w14:paraId="1124F966" w14:textId="77777777" w:rsidR="005B753E" w:rsidRPr="005B753E" w:rsidRDefault="005B753E" w:rsidP="005B753E">
            <w:pPr>
              <w:pBdr>
                <w:top w:val="single" w:sz="2" w:space="0" w:color="E5E7EB"/>
                <w:left w:val="single" w:sz="2" w:space="0" w:color="E5E7EB"/>
                <w:bottom w:val="single" w:sz="2" w:space="0" w:color="E5E7EB"/>
                <w:right w:val="single" w:sz="2" w:space="0" w:color="E5E7EB"/>
              </w:pBdr>
              <w:ind w:left="0"/>
              <w:jc w:val="left"/>
              <w:rPr>
                <w:rFonts w:ascii="Quattrocento Sans" w:eastAsia="Times New Roman" w:hAnsi="Quattrocento Sans"/>
                <w:color w:val="000000"/>
                <w:sz w:val="18"/>
                <w:szCs w:val="18"/>
                <w:lang w:eastAsia="it-IT"/>
              </w:rPr>
            </w:pPr>
            <w:r w:rsidRPr="005B753E">
              <w:rPr>
                <w:rFonts w:ascii="Quattrocento Sans" w:eastAsia="Times New Roman" w:hAnsi="Quattrocento Sans"/>
                <w:b/>
                <w:bCs/>
                <w:color w:val="000000"/>
                <w:sz w:val="18"/>
                <w:szCs w:val="18"/>
                <w:bdr w:val="single" w:sz="2" w:space="0" w:color="E5E7EB" w:frame="1"/>
                <w:lang w:eastAsia="it-IT"/>
              </w:rPr>
              <w:t>Valore normale</w:t>
            </w:r>
            <w:r w:rsidRPr="005B753E">
              <w:rPr>
                <w:rFonts w:ascii="Quattrocento Sans" w:eastAsia="Times New Roman" w:hAnsi="Quattrocento Sans"/>
                <w:color w:val="000000"/>
                <w:sz w:val="18"/>
                <w:szCs w:val="18"/>
                <w:lang w:eastAsia="it-IT"/>
              </w:rPr>
              <w:t> ex art. 9, TUIR al netto della quota riferibile all’utilizzo aziendale.</w:t>
            </w:r>
          </w:p>
        </w:tc>
      </w:tr>
      <w:tr w:rsidR="005B753E" w:rsidRPr="005B753E" w14:paraId="6DFE0F79" w14:textId="77777777" w:rsidTr="00417D70">
        <w:tc>
          <w:tcPr>
            <w:tcW w:w="2127" w:type="dxa"/>
            <w:tcBorders>
              <w:top w:val="single" w:sz="6" w:space="0" w:color="000B12"/>
              <w:left w:val="single" w:sz="6" w:space="0" w:color="000B12"/>
              <w:bottom w:val="single" w:sz="6" w:space="0" w:color="000B12"/>
              <w:right w:val="single" w:sz="6" w:space="0" w:color="000B12"/>
            </w:tcBorders>
            <w:shd w:val="clear" w:color="auto" w:fill="FFFFFF"/>
            <w:tcMar>
              <w:top w:w="120" w:type="dxa"/>
              <w:left w:w="120" w:type="dxa"/>
              <w:bottom w:w="120" w:type="dxa"/>
              <w:right w:w="120" w:type="dxa"/>
            </w:tcMar>
            <w:vAlign w:val="center"/>
            <w:hideMark/>
          </w:tcPr>
          <w:p w14:paraId="266A8ABE" w14:textId="77777777" w:rsidR="005B753E" w:rsidRPr="005B753E" w:rsidRDefault="005B753E" w:rsidP="005B753E">
            <w:pPr>
              <w:pBdr>
                <w:top w:val="single" w:sz="2" w:space="0" w:color="E5E7EB"/>
                <w:left w:val="single" w:sz="2" w:space="0" w:color="E5E7EB"/>
                <w:bottom w:val="single" w:sz="2" w:space="0" w:color="E5E7EB"/>
                <w:right w:val="single" w:sz="2" w:space="0" w:color="E5E7EB"/>
              </w:pBdr>
              <w:ind w:left="0"/>
              <w:jc w:val="left"/>
              <w:rPr>
                <w:rFonts w:ascii="Quattrocento Sans" w:eastAsia="Times New Roman" w:hAnsi="Quattrocento Sans"/>
                <w:color w:val="000000"/>
                <w:sz w:val="18"/>
                <w:szCs w:val="18"/>
                <w:lang w:eastAsia="it-IT"/>
              </w:rPr>
            </w:pPr>
            <w:r w:rsidRPr="005B753E">
              <w:rPr>
                <w:rFonts w:ascii="Quattrocento Sans" w:eastAsia="Times New Roman" w:hAnsi="Quattrocento Sans"/>
                <w:color w:val="000000"/>
                <w:sz w:val="18"/>
                <w:szCs w:val="18"/>
                <w:lang w:eastAsia="it-IT"/>
              </w:rPr>
              <w:t>Immatricolazione </w:t>
            </w:r>
            <w:r w:rsidRPr="005B753E">
              <w:rPr>
                <w:rFonts w:ascii="Quattrocento Sans" w:eastAsia="Times New Roman" w:hAnsi="Quattrocento Sans"/>
                <w:b/>
                <w:bCs/>
                <w:color w:val="000000"/>
                <w:sz w:val="18"/>
                <w:szCs w:val="18"/>
                <w:bdr w:val="single" w:sz="2" w:space="0" w:color="E5E7EB" w:frame="1"/>
                <w:lang w:eastAsia="it-IT"/>
              </w:rPr>
              <w:t>dal 1.7.2020</w:t>
            </w:r>
          </w:p>
        </w:tc>
        <w:tc>
          <w:tcPr>
            <w:tcW w:w="2552" w:type="dxa"/>
            <w:tcBorders>
              <w:top w:val="single" w:sz="6" w:space="0" w:color="000B12"/>
              <w:left w:val="single" w:sz="6" w:space="0" w:color="000B12"/>
              <w:bottom w:val="single" w:sz="6" w:space="0" w:color="000B12"/>
              <w:right w:val="single" w:sz="6" w:space="0" w:color="000B12"/>
            </w:tcBorders>
            <w:shd w:val="clear" w:color="auto" w:fill="FFFFFF"/>
            <w:tcMar>
              <w:top w:w="120" w:type="dxa"/>
              <w:left w:w="120" w:type="dxa"/>
              <w:bottom w:w="120" w:type="dxa"/>
              <w:right w:w="120" w:type="dxa"/>
            </w:tcMar>
            <w:vAlign w:val="center"/>
            <w:hideMark/>
          </w:tcPr>
          <w:p w14:paraId="6059589D" w14:textId="77777777" w:rsidR="005B753E" w:rsidRPr="005B753E" w:rsidRDefault="005B753E" w:rsidP="005B753E">
            <w:pPr>
              <w:pBdr>
                <w:top w:val="single" w:sz="2" w:space="0" w:color="E5E7EB"/>
                <w:left w:val="single" w:sz="2" w:space="0" w:color="E5E7EB"/>
                <w:bottom w:val="single" w:sz="2" w:space="0" w:color="E5E7EB"/>
                <w:right w:val="single" w:sz="2" w:space="0" w:color="E5E7EB"/>
              </w:pBdr>
              <w:ind w:left="0"/>
              <w:jc w:val="left"/>
              <w:rPr>
                <w:rFonts w:ascii="Quattrocento Sans" w:eastAsia="Times New Roman" w:hAnsi="Quattrocento Sans"/>
                <w:color w:val="000000"/>
                <w:sz w:val="18"/>
                <w:szCs w:val="18"/>
                <w:lang w:eastAsia="it-IT"/>
              </w:rPr>
            </w:pPr>
            <w:r w:rsidRPr="005B753E">
              <w:rPr>
                <w:rFonts w:ascii="Quattrocento Sans" w:eastAsia="Times New Roman" w:hAnsi="Quattrocento Sans"/>
                <w:color w:val="000000"/>
                <w:sz w:val="18"/>
                <w:szCs w:val="18"/>
                <w:lang w:eastAsia="it-IT"/>
              </w:rPr>
              <w:t>Assegnazione fino </w:t>
            </w:r>
            <w:r w:rsidRPr="005B753E">
              <w:rPr>
                <w:rFonts w:ascii="Quattrocento Sans" w:eastAsia="Times New Roman" w:hAnsi="Quattrocento Sans"/>
                <w:b/>
                <w:bCs/>
                <w:color w:val="000000"/>
                <w:sz w:val="18"/>
                <w:szCs w:val="18"/>
                <w:bdr w:val="single" w:sz="2" w:space="0" w:color="E5E7EB" w:frame="1"/>
                <w:lang w:eastAsia="it-IT"/>
              </w:rPr>
              <w:t>al 31.12.2024</w:t>
            </w:r>
          </w:p>
        </w:tc>
        <w:tc>
          <w:tcPr>
            <w:tcW w:w="5953" w:type="dxa"/>
            <w:tcBorders>
              <w:top w:val="single" w:sz="6" w:space="0" w:color="000B12"/>
              <w:left w:val="single" w:sz="6" w:space="0" w:color="000B12"/>
              <w:bottom w:val="single" w:sz="6" w:space="0" w:color="000B12"/>
              <w:right w:val="single" w:sz="6" w:space="0" w:color="000B12"/>
            </w:tcBorders>
            <w:shd w:val="clear" w:color="auto" w:fill="FFFFFF"/>
            <w:tcMar>
              <w:top w:w="120" w:type="dxa"/>
              <w:left w:w="120" w:type="dxa"/>
              <w:bottom w:w="120" w:type="dxa"/>
              <w:right w:w="120" w:type="dxa"/>
            </w:tcMar>
            <w:vAlign w:val="center"/>
            <w:hideMark/>
          </w:tcPr>
          <w:p w14:paraId="5EA964B6" w14:textId="77777777" w:rsidR="005B753E" w:rsidRPr="005B753E" w:rsidRDefault="005B753E" w:rsidP="005B753E">
            <w:pPr>
              <w:pBdr>
                <w:top w:val="single" w:sz="2" w:space="0" w:color="E5E7EB"/>
                <w:left w:val="single" w:sz="2" w:space="0" w:color="E5E7EB"/>
                <w:bottom w:val="single" w:sz="2" w:space="0" w:color="E5E7EB"/>
                <w:right w:val="single" w:sz="2" w:space="0" w:color="E5E7EB"/>
              </w:pBdr>
              <w:ind w:left="0"/>
              <w:jc w:val="left"/>
              <w:rPr>
                <w:rFonts w:ascii="Quattrocento Sans" w:eastAsia="Times New Roman" w:hAnsi="Quattrocento Sans"/>
                <w:b/>
                <w:bCs/>
                <w:color w:val="000000"/>
                <w:sz w:val="18"/>
                <w:szCs w:val="18"/>
                <w:bdr w:val="single" w:sz="2" w:space="0" w:color="E5E7EB" w:frame="1"/>
                <w:lang w:eastAsia="it-IT"/>
              </w:rPr>
            </w:pPr>
            <w:r w:rsidRPr="005B753E">
              <w:rPr>
                <w:rFonts w:ascii="Quattrocento Sans" w:eastAsia="Times New Roman" w:hAnsi="Quattrocento Sans"/>
                <w:b/>
                <w:bCs/>
                <w:color w:val="000000"/>
                <w:sz w:val="18"/>
                <w:szCs w:val="18"/>
                <w:bdr w:val="single" w:sz="2" w:space="0" w:color="E5E7EB" w:frame="1"/>
                <w:lang w:eastAsia="it-IT"/>
              </w:rPr>
              <w:t>Art. 51, comma 4, TUIR in vigore al 31.12.2024</w:t>
            </w:r>
          </w:p>
          <w:p w14:paraId="2389869E" w14:textId="77777777" w:rsidR="005B753E" w:rsidRPr="005B753E" w:rsidRDefault="005B753E" w:rsidP="005B753E">
            <w:pPr>
              <w:pBdr>
                <w:top w:val="single" w:sz="2" w:space="0" w:color="E5E7EB"/>
                <w:left w:val="single" w:sz="2" w:space="0" w:color="E5E7EB"/>
                <w:bottom w:val="single" w:sz="2" w:space="0" w:color="E5E7EB"/>
                <w:right w:val="single" w:sz="2" w:space="0" w:color="E5E7EB"/>
              </w:pBdr>
              <w:ind w:left="0"/>
              <w:jc w:val="left"/>
              <w:rPr>
                <w:rFonts w:ascii="Quattrocento Sans" w:eastAsia="Times New Roman" w:hAnsi="Quattrocento Sans"/>
                <w:color w:val="000000"/>
                <w:sz w:val="18"/>
                <w:szCs w:val="18"/>
                <w:lang w:eastAsia="it-IT"/>
              </w:rPr>
            </w:pPr>
            <w:r w:rsidRPr="005B753E">
              <w:rPr>
                <w:rFonts w:ascii="Quattrocento Sans" w:eastAsia="Times New Roman" w:hAnsi="Quattrocento Sans"/>
                <w:color w:val="000000"/>
                <w:sz w:val="18"/>
                <w:szCs w:val="18"/>
                <w:lang w:eastAsia="it-IT"/>
              </w:rPr>
              <w:t>Tassazione, in percentuale variabile dal 25% al 60% in base al grado di inquinamento del veicolo, dell’importo corrispondente alla percorrenza convenzionale di 15.000 Km in base al costo chilometrico ACI, al netto della somma trattenuta al dipendente.</w:t>
            </w:r>
          </w:p>
        </w:tc>
      </w:tr>
      <w:tr w:rsidR="005B753E" w:rsidRPr="005B753E" w14:paraId="0A86F20A" w14:textId="77777777" w:rsidTr="00417D70">
        <w:tc>
          <w:tcPr>
            <w:tcW w:w="2127" w:type="dxa"/>
            <w:tcBorders>
              <w:top w:val="single" w:sz="6" w:space="0" w:color="000B12"/>
              <w:left w:val="single" w:sz="6" w:space="0" w:color="000B12"/>
              <w:bottom w:val="single" w:sz="6" w:space="0" w:color="000B12"/>
              <w:right w:val="single" w:sz="6" w:space="0" w:color="000B12"/>
            </w:tcBorders>
            <w:shd w:val="clear" w:color="auto" w:fill="FFFFFF"/>
            <w:tcMar>
              <w:top w:w="120" w:type="dxa"/>
              <w:left w:w="120" w:type="dxa"/>
              <w:bottom w:w="120" w:type="dxa"/>
              <w:right w:w="120" w:type="dxa"/>
            </w:tcMar>
            <w:vAlign w:val="center"/>
            <w:hideMark/>
          </w:tcPr>
          <w:p w14:paraId="46A47803" w14:textId="77777777" w:rsidR="005B753E" w:rsidRPr="005B753E" w:rsidRDefault="005B753E" w:rsidP="005B753E">
            <w:pPr>
              <w:pBdr>
                <w:top w:val="single" w:sz="2" w:space="0" w:color="E5E7EB"/>
                <w:left w:val="single" w:sz="2" w:space="0" w:color="E5E7EB"/>
                <w:bottom w:val="single" w:sz="2" w:space="0" w:color="E5E7EB"/>
                <w:right w:val="single" w:sz="2" w:space="0" w:color="E5E7EB"/>
              </w:pBdr>
              <w:ind w:left="0"/>
              <w:jc w:val="left"/>
              <w:rPr>
                <w:rFonts w:ascii="Quattrocento Sans" w:eastAsia="Times New Roman" w:hAnsi="Quattrocento Sans"/>
                <w:color w:val="000000"/>
                <w:sz w:val="18"/>
                <w:szCs w:val="18"/>
                <w:lang w:eastAsia="it-IT"/>
              </w:rPr>
            </w:pPr>
            <w:r w:rsidRPr="005B753E">
              <w:rPr>
                <w:rFonts w:ascii="Quattrocento Sans" w:eastAsia="Times New Roman" w:hAnsi="Quattrocento Sans"/>
                <w:b/>
                <w:bCs/>
                <w:color w:val="000000"/>
                <w:sz w:val="18"/>
                <w:szCs w:val="18"/>
                <w:bdr w:val="single" w:sz="2" w:space="0" w:color="E5E7EB" w:frame="1"/>
                <w:lang w:eastAsia="it-IT"/>
              </w:rPr>
              <w:t xml:space="preserve">Ordine autovettura e stipula contratto di concessione </w:t>
            </w:r>
            <w:r w:rsidRPr="005B753E">
              <w:rPr>
                <w:rFonts w:ascii="Quattrocento Sans" w:eastAsia="Times New Roman" w:hAnsi="Quattrocento Sans"/>
                <w:color w:val="000000"/>
                <w:sz w:val="18"/>
                <w:szCs w:val="18"/>
                <w:lang w:eastAsia="it-IT"/>
              </w:rPr>
              <w:t xml:space="preserve">fino al </w:t>
            </w:r>
            <w:r w:rsidRPr="005B753E">
              <w:rPr>
                <w:rFonts w:ascii="Quattrocento Sans" w:eastAsia="Times New Roman" w:hAnsi="Quattrocento Sans"/>
                <w:b/>
                <w:bCs/>
                <w:color w:val="000000"/>
                <w:sz w:val="18"/>
                <w:szCs w:val="18"/>
                <w:bdr w:val="single" w:sz="2" w:space="0" w:color="E5E7EB" w:frame="1"/>
                <w:lang w:eastAsia="it-IT"/>
              </w:rPr>
              <w:t>31.12.2024</w:t>
            </w:r>
          </w:p>
        </w:tc>
        <w:tc>
          <w:tcPr>
            <w:tcW w:w="2552" w:type="dxa"/>
            <w:tcBorders>
              <w:top w:val="single" w:sz="6" w:space="0" w:color="000B12"/>
              <w:left w:val="single" w:sz="6" w:space="0" w:color="000B12"/>
              <w:bottom w:val="single" w:sz="6" w:space="0" w:color="000B12"/>
              <w:right w:val="single" w:sz="6" w:space="0" w:color="000B12"/>
            </w:tcBorders>
            <w:shd w:val="clear" w:color="auto" w:fill="FFFFFF"/>
            <w:tcMar>
              <w:top w:w="120" w:type="dxa"/>
              <w:left w:w="120" w:type="dxa"/>
              <w:bottom w:w="120" w:type="dxa"/>
              <w:right w:w="120" w:type="dxa"/>
            </w:tcMar>
            <w:vAlign w:val="center"/>
            <w:hideMark/>
          </w:tcPr>
          <w:p w14:paraId="2E9CEA06" w14:textId="77777777" w:rsidR="005B753E" w:rsidRPr="005B753E" w:rsidRDefault="005B753E" w:rsidP="005B753E">
            <w:pPr>
              <w:pBdr>
                <w:top w:val="single" w:sz="2" w:space="0" w:color="E5E7EB"/>
                <w:left w:val="single" w:sz="2" w:space="0" w:color="E5E7EB"/>
                <w:bottom w:val="single" w:sz="2" w:space="0" w:color="E5E7EB"/>
                <w:right w:val="single" w:sz="2" w:space="0" w:color="E5E7EB"/>
              </w:pBdr>
              <w:ind w:left="0"/>
              <w:jc w:val="left"/>
              <w:rPr>
                <w:rFonts w:ascii="Quattrocento Sans" w:eastAsia="Times New Roman" w:hAnsi="Quattrocento Sans"/>
                <w:color w:val="000000"/>
                <w:sz w:val="18"/>
                <w:szCs w:val="18"/>
                <w:lang w:eastAsia="it-IT"/>
              </w:rPr>
            </w:pPr>
            <w:r w:rsidRPr="005B753E">
              <w:rPr>
                <w:rFonts w:ascii="Quattrocento Sans" w:eastAsia="Times New Roman" w:hAnsi="Quattrocento Sans"/>
                <w:b/>
                <w:bCs/>
                <w:color w:val="000000"/>
                <w:sz w:val="18"/>
                <w:szCs w:val="18"/>
                <w:bdr w:val="single" w:sz="2" w:space="0" w:color="E5E7EB" w:frame="1"/>
                <w:lang w:eastAsia="it-IT"/>
              </w:rPr>
              <w:t xml:space="preserve">Immatricolazione e assegnazione / consegna </w:t>
            </w:r>
            <w:r w:rsidRPr="005B753E">
              <w:rPr>
                <w:rFonts w:ascii="Quattrocento Sans" w:eastAsia="Times New Roman" w:hAnsi="Quattrocento Sans"/>
                <w:b/>
                <w:bCs/>
                <w:color w:val="000000"/>
                <w:sz w:val="18"/>
                <w:szCs w:val="18"/>
                <w:lang w:eastAsia="it-IT"/>
              </w:rPr>
              <w:t>dall’01.01.2025</w:t>
            </w:r>
            <w:r w:rsidRPr="005B753E">
              <w:rPr>
                <w:rFonts w:ascii="Quattrocento Sans" w:eastAsia="Times New Roman" w:hAnsi="Quattrocento Sans"/>
                <w:color w:val="000000"/>
                <w:sz w:val="18"/>
                <w:szCs w:val="18"/>
                <w:lang w:eastAsia="it-IT"/>
              </w:rPr>
              <w:t xml:space="preserve"> </w:t>
            </w:r>
            <w:r w:rsidRPr="005B753E">
              <w:rPr>
                <w:rFonts w:ascii="Quattrocento Sans" w:eastAsia="Times New Roman" w:hAnsi="Quattrocento Sans"/>
                <w:b/>
                <w:bCs/>
                <w:color w:val="000000"/>
                <w:sz w:val="18"/>
                <w:szCs w:val="18"/>
                <w:bdr w:val="single" w:sz="2" w:space="0" w:color="E5E7EB" w:frame="1"/>
                <w:lang w:eastAsia="it-IT"/>
              </w:rPr>
              <w:t>al 30.6.2025</w:t>
            </w:r>
          </w:p>
        </w:tc>
        <w:tc>
          <w:tcPr>
            <w:tcW w:w="5953" w:type="dxa"/>
            <w:tcBorders>
              <w:top w:val="single" w:sz="6" w:space="0" w:color="000B12"/>
              <w:left w:val="single" w:sz="6" w:space="0" w:color="000B12"/>
              <w:bottom w:val="single" w:sz="6" w:space="0" w:color="000B12"/>
              <w:right w:val="single" w:sz="6" w:space="0" w:color="000B12"/>
            </w:tcBorders>
            <w:shd w:val="clear" w:color="auto" w:fill="FFFFFF"/>
            <w:tcMar>
              <w:top w:w="120" w:type="dxa"/>
              <w:left w:w="120" w:type="dxa"/>
              <w:bottom w:w="120" w:type="dxa"/>
              <w:right w:w="120" w:type="dxa"/>
            </w:tcMar>
            <w:vAlign w:val="center"/>
            <w:hideMark/>
          </w:tcPr>
          <w:p w14:paraId="54CAC756" w14:textId="77777777" w:rsidR="005B753E" w:rsidRPr="005B753E" w:rsidRDefault="005B753E" w:rsidP="005B753E">
            <w:pPr>
              <w:pBdr>
                <w:top w:val="single" w:sz="2" w:space="0" w:color="E5E7EB"/>
                <w:left w:val="single" w:sz="2" w:space="0" w:color="E5E7EB"/>
                <w:bottom w:val="single" w:sz="2" w:space="0" w:color="E5E7EB"/>
                <w:right w:val="single" w:sz="2" w:space="0" w:color="E5E7EB"/>
              </w:pBdr>
              <w:ind w:left="0"/>
              <w:jc w:val="left"/>
              <w:rPr>
                <w:rFonts w:ascii="Quattrocento Sans" w:eastAsia="Times New Roman" w:hAnsi="Quattrocento Sans"/>
                <w:b/>
                <w:bCs/>
                <w:color w:val="000000"/>
                <w:sz w:val="18"/>
                <w:szCs w:val="18"/>
                <w:bdr w:val="single" w:sz="2" w:space="0" w:color="E5E7EB" w:frame="1"/>
                <w:lang w:eastAsia="it-IT"/>
              </w:rPr>
            </w:pPr>
            <w:r w:rsidRPr="005B753E">
              <w:rPr>
                <w:rFonts w:ascii="Quattrocento Sans" w:eastAsia="Times New Roman" w:hAnsi="Quattrocento Sans"/>
                <w:b/>
                <w:bCs/>
                <w:color w:val="000000"/>
                <w:sz w:val="18"/>
                <w:szCs w:val="18"/>
                <w:bdr w:val="single" w:sz="2" w:space="0" w:color="E5E7EB" w:frame="1"/>
                <w:lang w:eastAsia="it-IT"/>
              </w:rPr>
              <w:t>Art. 51, comma 4, TUIR in vigore al 31.12.2024</w:t>
            </w:r>
          </w:p>
          <w:p w14:paraId="024E224F" w14:textId="77777777" w:rsidR="005B753E" w:rsidRPr="005B753E" w:rsidRDefault="005B753E" w:rsidP="005B753E">
            <w:pPr>
              <w:pBdr>
                <w:top w:val="single" w:sz="2" w:space="0" w:color="E5E7EB"/>
                <w:left w:val="single" w:sz="2" w:space="0" w:color="E5E7EB"/>
                <w:bottom w:val="single" w:sz="2" w:space="0" w:color="E5E7EB"/>
                <w:right w:val="single" w:sz="2" w:space="0" w:color="E5E7EB"/>
              </w:pBdr>
              <w:ind w:left="0"/>
              <w:jc w:val="left"/>
              <w:rPr>
                <w:rFonts w:ascii="Quattrocento Sans" w:eastAsia="Times New Roman" w:hAnsi="Quattrocento Sans"/>
                <w:color w:val="000000"/>
                <w:sz w:val="18"/>
                <w:szCs w:val="18"/>
                <w:lang w:eastAsia="it-IT"/>
              </w:rPr>
            </w:pPr>
            <w:r w:rsidRPr="005B753E">
              <w:rPr>
                <w:rFonts w:ascii="Quattrocento Sans" w:eastAsia="Times New Roman" w:hAnsi="Quattrocento Sans"/>
                <w:color w:val="000000"/>
                <w:sz w:val="18"/>
                <w:szCs w:val="18"/>
                <w:lang w:eastAsia="it-IT"/>
              </w:rPr>
              <w:t>Tassazione, in percentuale variabile dal 25% al 60% in base al grado di inquinamento del veicolo, dell’importo corrispondente alla percorrenza convenzionale di 15.000 Km in base al costo chilometrico ACI, al netto della somma trattenuta al dipendente.</w:t>
            </w:r>
          </w:p>
        </w:tc>
      </w:tr>
      <w:tr w:rsidR="005B753E" w:rsidRPr="005B753E" w14:paraId="4D4850E4" w14:textId="77777777" w:rsidTr="00417D70">
        <w:tc>
          <w:tcPr>
            <w:tcW w:w="2127" w:type="dxa"/>
            <w:tcBorders>
              <w:top w:val="single" w:sz="6" w:space="0" w:color="000B12"/>
              <w:left w:val="single" w:sz="6" w:space="0" w:color="000B12"/>
              <w:bottom w:val="single" w:sz="6" w:space="0" w:color="000B12"/>
              <w:right w:val="single" w:sz="6" w:space="0" w:color="000B12"/>
            </w:tcBorders>
            <w:shd w:val="clear" w:color="auto" w:fill="FFFFFF"/>
            <w:tcMar>
              <w:top w:w="120" w:type="dxa"/>
              <w:left w:w="120" w:type="dxa"/>
              <w:bottom w:w="120" w:type="dxa"/>
              <w:right w:w="120" w:type="dxa"/>
            </w:tcMar>
            <w:vAlign w:val="center"/>
            <w:hideMark/>
          </w:tcPr>
          <w:p w14:paraId="76002C18" w14:textId="77777777" w:rsidR="005B753E" w:rsidRPr="005B753E" w:rsidRDefault="005B753E" w:rsidP="005B753E">
            <w:pPr>
              <w:pBdr>
                <w:top w:val="single" w:sz="2" w:space="0" w:color="E5E7EB"/>
                <w:left w:val="single" w:sz="2" w:space="0" w:color="E5E7EB"/>
                <w:bottom w:val="single" w:sz="2" w:space="0" w:color="E5E7EB"/>
                <w:right w:val="single" w:sz="2" w:space="0" w:color="E5E7EB"/>
              </w:pBdr>
              <w:ind w:left="0"/>
              <w:jc w:val="left"/>
              <w:rPr>
                <w:rFonts w:ascii="Quattrocento Sans" w:eastAsia="Times New Roman" w:hAnsi="Quattrocento Sans"/>
                <w:color w:val="000000"/>
                <w:sz w:val="18"/>
                <w:szCs w:val="18"/>
                <w:lang w:eastAsia="it-IT"/>
              </w:rPr>
            </w:pPr>
            <w:r w:rsidRPr="005B753E">
              <w:rPr>
                <w:rFonts w:ascii="Quattrocento Sans" w:eastAsia="Times New Roman" w:hAnsi="Quattrocento Sans"/>
                <w:b/>
                <w:bCs/>
                <w:color w:val="000000"/>
                <w:sz w:val="18"/>
                <w:szCs w:val="18"/>
                <w:bdr w:val="single" w:sz="2" w:space="0" w:color="E5E7EB" w:frame="1"/>
                <w:lang w:eastAsia="it-IT"/>
              </w:rPr>
              <w:t xml:space="preserve">Ordine autovettura </w:t>
            </w:r>
            <w:r w:rsidRPr="005B753E">
              <w:rPr>
                <w:rFonts w:ascii="Quattrocento Sans" w:eastAsia="Times New Roman" w:hAnsi="Quattrocento Sans"/>
                <w:color w:val="000000"/>
                <w:sz w:val="18"/>
                <w:szCs w:val="18"/>
                <w:lang w:eastAsia="it-IT"/>
              </w:rPr>
              <w:t xml:space="preserve">fino al </w:t>
            </w:r>
            <w:r w:rsidRPr="005B753E">
              <w:rPr>
                <w:rFonts w:ascii="Quattrocento Sans" w:eastAsia="Times New Roman" w:hAnsi="Quattrocento Sans"/>
                <w:b/>
                <w:bCs/>
                <w:color w:val="000000"/>
                <w:sz w:val="18"/>
                <w:szCs w:val="18"/>
                <w:bdr w:val="single" w:sz="2" w:space="0" w:color="E5E7EB" w:frame="1"/>
                <w:lang w:eastAsia="it-IT"/>
              </w:rPr>
              <w:t>31.12.2024</w:t>
            </w:r>
          </w:p>
        </w:tc>
        <w:tc>
          <w:tcPr>
            <w:tcW w:w="2552" w:type="dxa"/>
            <w:tcBorders>
              <w:top w:val="single" w:sz="6" w:space="0" w:color="000B12"/>
              <w:left w:val="single" w:sz="6" w:space="0" w:color="000B12"/>
              <w:bottom w:val="single" w:sz="6" w:space="0" w:color="000B12"/>
              <w:right w:val="single" w:sz="6" w:space="0" w:color="000B12"/>
            </w:tcBorders>
            <w:shd w:val="clear" w:color="auto" w:fill="FFFFFF"/>
            <w:tcMar>
              <w:top w:w="120" w:type="dxa"/>
              <w:left w:w="120" w:type="dxa"/>
              <w:bottom w:w="120" w:type="dxa"/>
              <w:right w:w="120" w:type="dxa"/>
            </w:tcMar>
            <w:vAlign w:val="center"/>
            <w:hideMark/>
          </w:tcPr>
          <w:p w14:paraId="7FA889F8" w14:textId="77777777" w:rsidR="005B753E" w:rsidRPr="005B753E" w:rsidRDefault="005B753E" w:rsidP="005B753E">
            <w:pPr>
              <w:pBdr>
                <w:top w:val="single" w:sz="2" w:space="0" w:color="E5E7EB"/>
                <w:left w:val="single" w:sz="2" w:space="0" w:color="E5E7EB"/>
                <w:bottom w:val="single" w:sz="2" w:space="0" w:color="E5E7EB"/>
                <w:right w:val="single" w:sz="2" w:space="0" w:color="E5E7EB"/>
              </w:pBdr>
              <w:ind w:left="0"/>
              <w:jc w:val="left"/>
              <w:rPr>
                <w:rFonts w:ascii="Quattrocento Sans" w:eastAsia="Times New Roman" w:hAnsi="Quattrocento Sans"/>
                <w:color w:val="000000"/>
                <w:sz w:val="18"/>
                <w:szCs w:val="18"/>
                <w:lang w:eastAsia="it-IT"/>
              </w:rPr>
            </w:pPr>
            <w:r w:rsidRPr="005B753E">
              <w:rPr>
                <w:rFonts w:ascii="Quattrocento Sans" w:eastAsia="Times New Roman" w:hAnsi="Quattrocento Sans"/>
                <w:b/>
                <w:bCs/>
                <w:color w:val="000000"/>
                <w:sz w:val="18"/>
                <w:szCs w:val="18"/>
                <w:bdr w:val="single" w:sz="2" w:space="0" w:color="E5E7EB" w:frame="1"/>
                <w:lang w:eastAsia="it-IT"/>
              </w:rPr>
              <w:t>Assegnazione / consegna dall’01.07.2025</w:t>
            </w:r>
          </w:p>
        </w:tc>
        <w:tc>
          <w:tcPr>
            <w:tcW w:w="5953" w:type="dxa"/>
            <w:tcBorders>
              <w:top w:val="single" w:sz="6" w:space="0" w:color="000B12"/>
              <w:left w:val="single" w:sz="6" w:space="0" w:color="000B12"/>
              <w:bottom w:val="single" w:sz="6" w:space="0" w:color="000B12"/>
              <w:right w:val="single" w:sz="6" w:space="0" w:color="000B12"/>
            </w:tcBorders>
            <w:shd w:val="clear" w:color="auto" w:fill="FFFFFF"/>
            <w:tcMar>
              <w:top w:w="120" w:type="dxa"/>
              <w:left w:w="120" w:type="dxa"/>
              <w:bottom w:w="120" w:type="dxa"/>
              <w:right w:w="120" w:type="dxa"/>
            </w:tcMar>
            <w:vAlign w:val="center"/>
            <w:hideMark/>
          </w:tcPr>
          <w:p w14:paraId="7FC1EA59" w14:textId="77777777" w:rsidR="005B753E" w:rsidRPr="005B753E" w:rsidRDefault="005B753E" w:rsidP="005B753E">
            <w:pPr>
              <w:pBdr>
                <w:top w:val="single" w:sz="2" w:space="0" w:color="E5E7EB"/>
                <w:left w:val="single" w:sz="2" w:space="0" w:color="E5E7EB"/>
                <w:bottom w:val="single" w:sz="2" w:space="0" w:color="E5E7EB"/>
                <w:right w:val="single" w:sz="2" w:space="0" w:color="E5E7EB"/>
              </w:pBdr>
              <w:ind w:left="0"/>
              <w:jc w:val="left"/>
              <w:rPr>
                <w:rFonts w:ascii="Quattrocento Sans" w:eastAsia="Times New Roman" w:hAnsi="Quattrocento Sans"/>
                <w:color w:val="000000"/>
                <w:sz w:val="18"/>
                <w:szCs w:val="18"/>
                <w:lang w:eastAsia="it-IT"/>
              </w:rPr>
            </w:pPr>
            <w:r w:rsidRPr="005B753E">
              <w:rPr>
                <w:rFonts w:ascii="Quattrocento Sans" w:eastAsia="Times New Roman" w:hAnsi="Quattrocento Sans"/>
                <w:b/>
                <w:bCs/>
                <w:color w:val="000000"/>
                <w:sz w:val="18"/>
                <w:szCs w:val="18"/>
                <w:bdr w:val="single" w:sz="2" w:space="0" w:color="E5E7EB" w:frame="1"/>
                <w:lang w:eastAsia="it-IT"/>
              </w:rPr>
              <w:t>Valore normale </w:t>
            </w:r>
            <w:r w:rsidRPr="005B753E">
              <w:rPr>
                <w:rFonts w:ascii="Quattrocento Sans" w:eastAsia="Times New Roman" w:hAnsi="Quattrocento Sans"/>
                <w:color w:val="000000"/>
                <w:sz w:val="18"/>
                <w:szCs w:val="18"/>
                <w:lang w:eastAsia="it-IT"/>
              </w:rPr>
              <w:t>ex art. 9, TUIR al netto della quota riferibile all’utilizzo aziendale.</w:t>
            </w:r>
          </w:p>
        </w:tc>
      </w:tr>
      <w:tr w:rsidR="005B753E" w:rsidRPr="005B753E" w14:paraId="2E5AB6C0" w14:textId="77777777" w:rsidTr="00417D70">
        <w:tc>
          <w:tcPr>
            <w:tcW w:w="2127" w:type="dxa"/>
            <w:tcBorders>
              <w:top w:val="single" w:sz="6" w:space="0" w:color="000B12"/>
              <w:left w:val="single" w:sz="6" w:space="0" w:color="000B12"/>
              <w:bottom w:val="single" w:sz="6" w:space="0" w:color="000B12"/>
              <w:right w:val="single" w:sz="6" w:space="0" w:color="000B12"/>
            </w:tcBorders>
            <w:shd w:val="clear" w:color="auto" w:fill="FFFFFF"/>
            <w:tcMar>
              <w:top w:w="120" w:type="dxa"/>
              <w:left w:w="120" w:type="dxa"/>
              <w:bottom w:w="120" w:type="dxa"/>
              <w:right w:w="120" w:type="dxa"/>
            </w:tcMar>
            <w:vAlign w:val="center"/>
            <w:hideMark/>
          </w:tcPr>
          <w:p w14:paraId="6A541EB5" w14:textId="77777777" w:rsidR="005B753E" w:rsidRPr="005B753E" w:rsidRDefault="005B753E" w:rsidP="005B753E">
            <w:pPr>
              <w:pBdr>
                <w:top w:val="single" w:sz="2" w:space="0" w:color="E5E7EB"/>
                <w:left w:val="single" w:sz="2" w:space="0" w:color="E5E7EB"/>
                <w:bottom w:val="single" w:sz="2" w:space="0" w:color="E5E7EB"/>
                <w:right w:val="single" w:sz="2" w:space="0" w:color="E5E7EB"/>
              </w:pBdr>
              <w:ind w:left="0"/>
              <w:jc w:val="left"/>
              <w:rPr>
                <w:rFonts w:ascii="Quattrocento Sans" w:eastAsia="Times New Roman" w:hAnsi="Quattrocento Sans"/>
                <w:color w:val="000000"/>
                <w:sz w:val="18"/>
                <w:szCs w:val="18"/>
                <w:lang w:eastAsia="it-IT"/>
              </w:rPr>
            </w:pPr>
            <w:r w:rsidRPr="005B753E">
              <w:rPr>
                <w:rFonts w:ascii="Quattrocento Sans" w:eastAsia="Times New Roman" w:hAnsi="Quattrocento Sans"/>
                <w:b/>
                <w:bCs/>
                <w:color w:val="000000"/>
                <w:sz w:val="18"/>
                <w:szCs w:val="18"/>
                <w:bdr w:val="single" w:sz="2" w:space="0" w:color="E5E7EB" w:frame="1"/>
                <w:lang w:eastAsia="it-IT"/>
              </w:rPr>
              <w:t xml:space="preserve">Ordine autovettura </w:t>
            </w:r>
            <w:r w:rsidRPr="005B753E">
              <w:rPr>
                <w:rFonts w:ascii="Quattrocento Sans" w:eastAsia="Times New Roman" w:hAnsi="Quattrocento Sans"/>
                <w:color w:val="000000"/>
                <w:sz w:val="18"/>
                <w:szCs w:val="18"/>
                <w:lang w:eastAsia="it-IT"/>
              </w:rPr>
              <w:t xml:space="preserve">fino al </w:t>
            </w:r>
            <w:r w:rsidRPr="005B753E">
              <w:rPr>
                <w:rFonts w:ascii="Quattrocento Sans" w:eastAsia="Times New Roman" w:hAnsi="Quattrocento Sans"/>
                <w:b/>
                <w:bCs/>
                <w:color w:val="000000"/>
                <w:sz w:val="18"/>
                <w:szCs w:val="18"/>
                <w:bdr w:val="single" w:sz="2" w:space="0" w:color="E5E7EB" w:frame="1"/>
                <w:lang w:eastAsia="it-IT"/>
              </w:rPr>
              <w:t>31.12.2024</w:t>
            </w:r>
          </w:p>
        </w:tc>
        <w:tc>
          <w:tcPr>
            <w:tcW w:w="2552" w:type="dxa"/>
            <w:tcBorders>
              <w:top w:val="single" w:sz="6" w:space="0" w:color="000B12"/>
              <w:left w:val="single" w:sz="6" w:space="0" w:color="000B12"/>
              <w:bottom w:val="single" w:sz="6" w:space="0" w:color="000B12"/>
              <w:right w:val="single" w:sz="6" w:space="0" w:color="000B12"/>
            </w:tcBorders>
            <w:shd w:val="clear" w:color="auto" w:fill="FFFFFF"/>
            <w:tcMar>
              <w:top w:w="120" w:type="dxa"/>
              <w:left w:w="120" w:type="dxa"/>
              <w:bottom w:w="120" w:type="dxa"/>
              <w:right w:w="120" w:type="dxa"/>
            </w:tcMar>
            <w:vAlign w:val="center"/>
            <w:hideMark/>
          </w:tcPr>
          <w:p w14:paraId="382AE477" w14:textId="77777777" w:rsidR="005B753E" w:rsidRPr="005B753E" w:rsidRDefault="005B753E" w:rsidP="005B753E">
            <w:pPr>
              <w:pBdr>
                <w:top w:val="single" w:sz="2" w:space="0" w:color="E5E7EB"/>
                <w:left w:val="single" w:sz="2" w:space="0" w:color="E5E7EB"/>
                <w:bottom w:val="single" w:sz="2" w:space="0" w:color="E5E7EB"/>
                <w:right w:val="single" w:sz="2" w:space="0" w:color="E5E7EB"/>
              </w:pBdr>
              <w:ind w:left="0"/>
              <w:jc w:val="left"/>
              <w:rPr>
                <w:rFonts w:ascii="Quattrocento Sans" w:eastAsia="Times New Roman" w:hAnsi="Quattrocento Sans"/>
                <w:color w:val="000000"/>
                <w:sz w:val="18"/>
                <w:szCs w:val="18"/>
                <w:lang w:eastAsia="it-IT"/>
              </w:rPr>
            </w:pPr>
            <w:r w:rsidRPr="005B753E">
              <w:rPr>
                <w:rFonts w:ascii="Quattrocento Sans" w:eastAsia="Times New Roman" w:hAnsi="Quattrocento Sans"/>
                <w:b/>
                <w:bCs/>
                <w:color w:val="000000"/>
                <w:sz w:val="18"/>
                <w:szCs w:val="18"/>
                <w:bdr w:val="single" w:sz="2" w:space="0" w:color="E5E7EB" w:frame="1"/>
                <w:lang w:eastAsia="it-IT"/>
              </w:rPr>
              <w:t>Immatricolazione, stipula contratto di concessione e assegnazione dall’01.01.2025 al 30.6.2025</w:t>
            </w:r>
          </w:p>
        </w:tc>
        <w:tc>
          <w:tcPr>
            <w:tcW w:w="5953" w:type="dxa"/>
            <w:tcBorders>
              <w:top w:val="single" w:sz="6" w:space="0" w:color="000B12"/>
              <w:left w:val="single" w:sz="6" w:space="0" w:color="000B12"/>
              <w:bottom w:val="single" w:sz="6" w:space="0" w:color="000B12"/>
              <w:right w:val="single" w:sz="6" w:space="0" w:color="000B12"/>
            </w:tcBorders>
            <w:shd w:val="clear" w:color="auto" w:fill="FFFFFF"/>
            <w:tcMar>
              <w:top w:w="120" w:type="dxa"/>
              <w:left w:w="120" w:type="dxa"/>
              <w:bottom w:w="120" w:type="dxa"/>
              <w:right w:w="120" w:type="dxa"/>
            </w:tcMar>
            <w:vAlign w:val="center"/>
            <w:hideMark/>
          </w:tcPr>
          <w:p w14:paraId="608B737C" w14:textId="77777777" w:rsidR="005B753E" w:rsidRPr="005B753E" w:rsidRDefault="005B753E" w:rsidP="005B753E">
            <w:pPr>
              <w:pBdr>
                <w:top w:val="single" w:sz="2" w:space="0" w:color="E5E7EB"/>
                <w:left w:val="single" w:sz="2" w:space="0" w:color="E5E7EB"/>
                <w:bottom w:val="single" w:sz="2" w:space="0" w:color="E5E7EB"/>
                <w:right w:val="single" w:sz="2" w:space="0" w:color="E5E7EB"/>
              </w:pBdr>
              <w:ind w:left="0"/>
              <w:jc w:val="left"/>
              <w:rPr>
                <w:rFonts w:ascii="Quattrocento Sans" w:eastAsia="Times New Roman" w:hAnsi="Quattrocento Sans"/>
                <w:b/>
                <w:bCs/>
                <w:color w:val="000000"/>
                <w:sz w:val="18"/>
                <w:szCs w:val="18"/>
                <w:bdr w:val="single" w:sz="2" w:space="0" w:color="E5E7EB" w:frame="1"/>
                <w:lang w:eastAsia="it-IT"/>
              </w:rPr>
            </w:pPr>
            <w:r w:rsidRPr="005B753E">
              <w:rPr>
                <w:rFonts w:ascii="Quattrocento Sans" w:eastAsia="Times New Roman" w:hAnsi="Quattrocento Sans"/>
                <w:b/>
                <w:bCs/>
                <w:color w:val="000000"/>
                <w:sz w:val="18"/>
                <w:szCs w:val="18"/>
                <w:bdr w:val="single" w:sz="2" w:space="0" w:color="E5E7EB" w:frame="1"/>
                <w:lang w:eastAsia="it-IT"/>
              </w:rPr>
              <w:t>Art. 51, comma 4, TUIR in vigore al 31.12.2024</w:t>
            </w:r>
          </w:p>
          <w:p w14:paraId="60DA361C" w14:textId="77777777" w:rsidR="005B753E" w:rsidRPr="005B753E" w:rsidRDefault="005B753E" w:rsidP="005B753E">
            <w:pPr>
              <w:pBdr>
                <w:top w:val="single" w:sz="2" w:space="0" w:color="E5E7EB"/>
                <w:left w:val="single" w:sz="2" w:space="0" w:color="E5E7EB"/>
                <w:bottom w:val="single" w:sz="2" w:space="0" w:color="E5E7EB"/>
                <w:right w:val="single" w:sz="2" w:space="0" w:color="E5E7EB"/>
              </w:pBdr>
              <w:ind w:left="0"/>
              <w:jc w:val="left"/>
              <w:rPr>
                <w:rFonts w:ascii="Quattrocento Sans" w:eastAsia="Times New Roman" w:hAnsi="Quattrocento Sans"/>
                <w:color w:val="000000"/>
                <w:sz w:val="18"/>
                <w:szCs w:val="18"/>
                <w:lang w:eastAsia="it-IT"/>
              </w:rPr>
            </w:pPr>
            <w:r w:rsidRPr="005B753E">
              <w:rPr>
                <w:rFonts w:ascii="Quattrocento Sans" w:eastAsia="Times New Roman" w:hAnsi="Quattrocento Sans"/>
                <w:color w:val="000000"/>
                <w:sz w:val="18"/>
                <w:szCs w:val="18"/>
                <w:lang w:eastAsia="it-IT"/>
              </w:rPr>
              <w:t>(tassazione, in percentuale variabile dal 25% al 60% in base al grado di inquinamento del veicolo) ovvero se più conveniente Art. 51, comma 4, TUIR in vigore dall’1.1.2025 (tassazione, in percentuale variabile dal 10% al 50% in base alla tipologia di trazione del veicolo).</w:t>
            </w:r>
          </w:p>
        </w:tc>
      </w:tr>
      <w:tr w:rsidR="005B753E" w:rsidRPr="005B753E" w14:paraId="636F54E0" w14:textId="77777777" w:rsidTr="00417D70">
        <w:tc>
          <w:tcPr>
            <w:tcW w:w="2127" w:type="dxa"/>
            <w:tcBorders>
              <w:top w:val="single" w:sz="6" w:space="0" w:color="000B12"/>
              <w:left w:val="single" w:sz="6" w:space="0" w:color="000B12"/>
              <w:bottom w:val="single" w:sz="6" w:space="0" w:color="000B12"/>
              <w:right w:val="single" w:sz="6" w:space="0" w:color="000B12"/>
            </w:tcBorders>
            <w:shd w:val="clear" w:color="auto" w:fill="FFFFFF"/>
            <w:tcMar>
              <w:top w:w="120" w:type="dxa"/>
              <w:left w:w="120" w:type="dxa"/>
              <w:bottom w:w="120" w:type="dxa"/>
              <w:right w:w="120" w:type="dxa"/>
            </w:tcMar>
            <w:vAlign w:val="center"/>
            <w:hideMark/>
          </w:tcPr>
          <w:p w14:paraId="6921B0C6" w14:textId="77777777" w:rsidR="005B753E" w:rsidRPr="005B753E" w:rsidRDefault="005B753E" w:rsidP="005B753E">
            <w:pPr>
              <w:pBdr>
                <w:top w:val="single" w:sz="2" w:space="0" w:color="E5E7EB"/>
                <w:left w:val="single" w:sz="2" w:space="0" w:color="E5E7EB"/>
                <w:bottom w:val="single" w:sz="2" w:space="0" w:color="E5E7EB"/>
                <w:right w:val="single" w:sz="2" w:space="0" w:color="E5E7EB"/>
              </w:pBdr>
              <w:ind w:left="0"/>
              <w:jc w:val="left"/>
              <w:rPr>
                <w:rFonts w:ascii="Quattrocento Sans" w:eastAsia="Times New Roman" w:hAnsi="Quattrocento Sans"/>
                <w:color w:val="000000"/>
                <w:sz w:val="18"/>
                <w:szCs w:val="18"/>
                <w:lang w:eastAsia="it-IT"/>
              </w:rPr>
            </w:pPr>
            <w:r w:rsidRPr="005B753E">
              <w:rPr>
                <w:rFonts w:ascii="Quattrocento Sans" w:eastAsia="Times New Roman" w:hAnsi="Quattrocento Sans"/>
                <w:b/>
                <w:bCs/>
                <w:color w:val="000000"/>
                <w:sz w:val="18"/>
                <w:szCs w:val="18"/>
                <w:bdr w:val="single" w:sz="2" w:space="0" w:color="E5E7EB" w:frame="1"/>
                <w:lang w:eastAsia="it-IT"/>
              </w:rPr>
              <w:t>Immatricolazione /stipula contratto di concessione / assegnazione al dipendente dall’1.1.2025</w:t>
            </w:r>
          </w:p>
        </w:tc>
        <w:tc>
          <w:tcPr>
            <w:tcW w:w="8505" w:type="dxa"/>
            <w:gridSpan w:val="2"/>
            <w:tcBorders>
              <w:top w:val="single" w:sz="6" w:space="0" w:color="000B12"/>
              <w:left w:val="single" w:sz="6" w:space="0" w:color="000B12"/>
              <w:bottom w:val="single" w:sz="6" w:space="0" w:color="000B12"/>
              <w:right w:val="single" w:sz="6" w:space="0" w:color="000B12"/>
            </w:tcBorders>
            <w:shd w:val="clear" w:color="auto" w:fill="FFFFFF"/>
            <w:tcMar>
              <w:top w:w="120" w:type="dxa"/>
              <w:left w:w="120" w:type="dxa"/>
              <w:bottom w:w="120" w:type="dxa"/>
              <w:right w:w="120" w:type="dxa"/>
            </w:tcMar>
            <w:vAlign w:val="center"/>
            <w:hideMark/>
          </w:tcPr>
          <w:p w14:paraId="4C8791A4" w14:textId="77777777" w:rsidR="005B753E" w:rsidRPr="005B753E" w:rsidRDefault="005B753E" w:rsidP="005B753E">
            <w:pPr>
              <w:pBdr>
                <w:top w:val="single" w:sz="2" w:space="0" w:color="E5E7EB"/>
                <w:left w:val="single" w:sz="2" w:space="0" w:color="E5E7EB"/>
                <w:bottom w:val="single" w:sz="2" w:space="0" w:color="E5E7EB"/>
                <w:right w:val="single" w:sz="2" w:space="0" w:color="E5E7EB"/>
              </w:pBdr>
              <w:ind w:left="0"/>
              <w:jc w:val="left"/>
              <w:rPr>
                <w:rFonts w:ascii="Quattrocento Sans" w:eastAsia="Times New Roman" w:hAnsi="Quattrocento Sans"/>
                <w:b/>
                <w:bCs/>
                <w:color w:val="000000"/>
                <w:sz w:val="18"/>
                <w:szCs w:val="18"/>
                <w:bdr w:val="single" w:sz="2" w:space="0" w:color="E5E7EB" w:frame="1"/>
                <w:lang w:eastAsia="it-IT"/>
              </w:rPr>
            </w:pPr>
            <w:r w:rsidRPr="005B753E">
              <w:rPr>
                <w:rFonts w:ascii="Quattrocento Sans" w:eastAsia="Times New Roman" w:hAnsi="Quattrocento Sans"/>
                <w:b/>
                <w:bCs/>
                <w:color w:val="000000"/>
                <w:sz w:val="18"/>
                <w:szCs w:val="18"/>
                <w:bdr w:val="single" w:sz="2" w:space="0" w:color="E5E7EB" w:frame="1"/>
                <w:lang w:eastAsia="it-IT"/>
              </w:rPr>
              <w:t>Art. 51, comma 4, TUIR in vigore dall’1.1.2025</w:t>
            </w:r>
          </w:p>
          <w:p w14:paraId="07EB2822" w14:textId="77777777" w:rsidR="005B753E" w:rsidRPr="005B753E" w:rsidRDefault="005B753E" w:rsidP="005B753E">
            <w:pPr>
              <w:pBdr>
                <w:top w:val="single" w:sz="2" w:space="0" w:color="E5E7EB"/>
                <w:left w:val="single" w:sz="2" w:space="0" w:color="E5E7EB"/>
                <w:bottom w:val="single" w:sz="2" w:space="0" w:color="E5E7EB"/>
                <w:right w:val="single" w:sz="2" w:space="0" w:color="E5E7EB"/>
              </w:pBdr>
              <w:ind w:left="0"/>
              <w:jc w:val="left"/>
              <w:rPr>
                <w:rFonts w:ascii="Quattrocento Sans" w:eastAsia="Times New Roman" w:hAnsi="Quattrocento Sans"/>
                <w:color w:val="000000"/>
                <w:sz w:val="18"/>
                <w:szCs w:val="18"/>
                <w:lang w:eastAsia="it-IT"/>
              </w:rPr>
            </w:pPr>
            <w:r w:rsidRPr="005B753E">
              <w:rPr>
                <w:rFonts w:ascii="Quattrocento Sans" w:eastAsia="Times New Roman" w:hAnsi="Quattrocento Sans"/>
                <w:color w:val="000000"/>
                <w:sz w:val="18"/>
                <w:szCs w:val="18"/>
                <w:lang w:eastAsia="it-IT"/>
              </w:rPr>
              <w:t>Tassazione, in percentuale variabile dal 10% al 50% in base alla tipologia di trazione del veicolo, dell’importo corrispondente alla percorrenza convenzionale di 15.000 Km in base al costo chilometrico ACI, al netto della somma trattenuta al dipendente.</w:t>
            </w:r>
          </w:p>
        </w:tc>
      </w:tr>
      <w:tr w:rsidR="005B753E" w:rsidRPr="005B753E" w14:paraId="3A3DD1F1" w14:textId="77777777" w:rsidTr="00417D70">
        <w:tc>
          <w:tcPr>
            <w:tcW w:w="2127" w:type="dxa"/>
            <w:tcBorders>
              <w:top w:val="single" w:sz="6" w:space="0" w:color="000B12"/>
              <w:left w:val="single" w:sz="6" w:space="0" w:color="000B12"/>
              <w:bottom w:val="single" w:sz="6" w:space="0" w:color="000B12"/>
              <w:right w:val="single" w:sz="6" w:space="0" w:color="000B12"/>
            </w:tcBorders>
            <w:shd w:val="clear" w:color="auto" w:fill="FFFFFF"/>
            <w:tcMar>
              <w:top w:w="120" w:type="dxa"/>
              <w:left w:w="120" w:type="dxa"/>
              <w:bottom w:w="120" w:type="dxa"/>
              <w:right w:w="120" w:type="dxa"/>
            </w:tcMar>
            <w:vAlign w:val="center"/>
            <w:hideMark/>
          </w:tcPr>
          <w:p w14:paraId="4117FBE1" w14:textId="77777777" w:rsidR="005B753E" w:rsidRPr="005B753E" w:rsidRDefault="005B753E" w:rsidP="005B753E">
            <w:pPr>
              <w:pBdr>
                <w:top w:val="single" w:sz="2" w:space="0" w:color="E5E7EB"/>
                <w:left w:val="single" w:sz="2" w:space="0" w:color="E5E7EB"/>
                <w:bottom w:val="single" w:sz="2" w:space="0" w:color="E5E7EB"/>
                <w:right w:val="single" w:sz="2" w:space="0" w:color="E5E7EB"/>
              </w:pBdr>
              <w:ind w:left="0"/>
              <w:jc w:val="left"/>
              <w:rPr>
                <w:rFonts w:ascii="Quattrocento Sans" w:eastAsia="Times New Roman" w:hAnsi="Quattrocento Sans"/>
                <w:b/>
                <w:bCs/>
                <w:color w:val="000000"/>
                <w:sz w:val="18"/>
                <w:szCs w:val="18"/>
                <w:bdr w:val="single" w:sz="2" w:space="0" w:color="E5E7EB" w:frame="1"/>
                <w:lang w:eastAsia="it-IT"/>
              </w:rPr>
            </w:pPr>
            <w:r w:rsidRPr="005B753E">
              <w:rPr>
                <w:rFonts w:ascii="Quattrocento Sans" w:eastAsia="Times New Roman" w:hAnsi="Quattrocento Sans"/>
                <w:b/>
                <w:bCs/>
                <w:color w:val="000000"/>
                <w:sz w:val="18"/>
                <w:szCs w:val="18"/>
                <w:bdr w:val="single" w:sz="2" w:space="0" w:color="E5E7EB" w:frame="1"/>
                <w:lang w:eastAsia="it-IT"/>
              </w:rPr>
              <w:t>Proroga contratto</w:t>
            </w:r>
          </w:p>
          <w:p w14:paraId="5026ACCC" w14:textId="77777777" w:rsidR="005B753E" w:rsidRPr="005B753E" w:rsidRDefault="005B753E" w:rsidP="005B753E">
            <w:pPr>
              <w:pBdr>
                <w:top w:val="single" w:sz="2" w:space="0" w:color="E5E7EB"/>
                <w:left w:val="single" w:sz="2" w:space="0" w:color="E5E7EB"/>
                <w:bottom w:val="single" w:sz="2" w:space="0" w:color="E5E7EB"/>
                <w:right w:val="single" w:sz="2" w:space="0" w:color="E5E7EB"/>
              </w:pBdr>
              <w:ind w:left="0"/>
              <w:jc w:val="left"/>
              <w:rPr>
                <w:rFonts w:ascii="Quattrocento Sans" w:eastAsia="Times New Roman" w:hAnsi="Quattrocento Sans"/>
                <w:color w:val="000000"/>
                <w:sz w:val="18"/>
                <w:szCs w:val="18"/>
                <w:lang w:eastAsia="it-IT"/>
              </w:rPr>
            </w:pPr>
            <w:r w:rsidRPr="005B753E">
              <w:rPr>
                <w:rFonts w:ascii="Quattrocento Sans" w:eastAsia="Times New Roman" w:hAnsi="Quattrocento Sans"/>
                <w:b/>
                <w:bCs/>
                <w:color w:val="000000"/>
                <w:sz w:val="18"/>
                <w:szCs w:val="18"/>
                <w:bdr w:val="single" w:sz="2" w:space="0" w:color="E5E7EB" w:frame="1"/>
                <w:lang w:eastAsia="it-IT"/>
              </w:rPr>
              <w:t>(stesso dipendente / veicolo)</w:t>
            </w:r>
          </w:p>
        </w:tc>
        <w:tc>
          <w:tcPr>
            <w:tcW w:w="8505" w:type="dxa"/>
            <w:gridSpan w:val="2"/>
            <w:tcBorders>
              <w:top w:val="single" w:sz="6" w:space="0" w:color="000B12"/>
              <w:left w:val="single" w:sz="6" w:space="0" w:color="000B12"/>
              <w:bottom w:val="single" w:sz="6" w:space="0" w:color="000B12"/>
              <w:right w:val="single" w:sz="6" w:space="0" w:color="000B12"/>
            </w:tcBorders>
            <w:shd w:val="clear" w:color="auto" w:fill="FFFFFF"/>
            <w:tcMar>
              <w:top w:w="120" w:type="dxa"/>
              <w:left w:w="120" w:type="dxa"/>
              <w:bottom w:w="120" w:type="dxa"/>
              <w:right w:w="120" w:type="dxa"/>
            </w:tcMar>
            <w:vAlign w:val="center"/>
            <w:hideMark/>
          </w:tcPr>
          <w:p w14:paraId="76BFE194" w14:textId="77777777" w:rsidR="005B753E" w:rsidRPr="005B753E" w:rsidRDefault="005B753E" w:rsidP="005B753E">
            <w:pPr>
              <w:pBdr>
                <w:top w:val="single" w:sz="2" w:space="0" w:color="E5E7EB"/>
                <w:left w:val="single" w:sz="2" w:space="0" w:color="E5E7EB"/>
                <w:bottom w:val="single" w:sz="2" w:space="0" w:color="E5E7EB"/>
                <w:right w:val="single" w:sz="2" w:space="0" w:color="E5E7EB"/>
              </w:pBdr>
              <w:ind w:left="0"/>
              <w:jc w:val="left"/>
              <w:rPr>
                <w:rFonts w:ascii="Quattrocento Sans" w:eastAsia="Times New Roman" w:hAnsi="Quattrocento Sans"/>
                <w:color w:val="000000"/>
                <w:sz w:val="18"/>
                <w:szCs w:val="18"/>
                <w:lang w:eastAsia="it-IT"/>
              </w:rPr>
            </w:pPr>
            <w:r w:rsidRPr="005B753E">
              <w:rPr>
                <w:rFonts w:ascii="Quattrocento Sans" w:eastAsia="Times New Roman" w:hAnsi="Quattrocento Sans"/>
                <w:color w:val="000000"/>
                <w:sz w:val="18"/>
                <w:szCs w:val="18"/>
                <w:lang w:eastAsia="it-IT"/>
              </w:rPr>
              <w:t>Disciplina applicabile alla data di sottoscrizione del contratto originario, fino alla naturale scadenza.</w:t>
            </w:r>
          </w:p>
        </w:tc>
      </w:tr>
      <w:tr w:rsidR="005B753E" w:rsidRPr="005B753E" w14:paraId="4412589C" w14:textId="77777777" w:rsidTr="00417D70">
        <w:tc>
          <w:tcPr>
            <w:tcW w:w="2127" w:type="dxa"/>
            <w:tcBorders>
              <w:top w:val="single" w:sz="6" w:space="0" w:color="000B12"/>
              <w:left w:val="single" w:sz="6" w:space="0" w:color="000B12"/>
              <w:bottom w:val="single" w:sz="6" w:space="0" w:color="000B12"/>
              <w:right w:val="single" w:sz="6" w:space="0" w:color="000B12"/>
            </w:tcBorders>
            <w:shd w:val="clear" w:color="auto" w:fill="FFFFFF"/>
            <w:tcMar>
              <w:top w:w="120" w:type="dxa"/>
              <w:left w:w="120" w:type="dxa"/>
              <w:bottom w:w="120" w:type="dxa"/>
              <w:right w:w="120" w:type="dxa"/>
            </w:tcMar>
            <w:vAlign w:val="center"/>
            <w:hideMark/>
          </w:tcPr>
          <w:p w14:paraId="70ABE908" w14:textId="77777777" w:rsidR="005B753E" w:rsidRPr="005B753E" w:rsidRDefault="005B753E" w:rsidP="005B753E">
            <w:pPr>
              <w:pBdr>
                <w:top w:val="single" w:sz="2" w:space="0" w:color="E5E7EB"/>
                <w:left w:val="single" w:sz="2" w:space="0" w:color="E5E7EB"/>
                <w:bottom w:val="single" w:sz="2" w:space="0" w:color="E5E7EB"/>
                <w:right w:val="single" w:sz="2" w:space="0" w:color="E5E7EB"/>
              </w:pBdr>
              <w:ind w:left="0"/>
              <w:jc w:val="left"/>
              <w:rPr>
                <w:rFonts w:ascii="Quattrocento Sans" w:eastAsia="Times New Roman" w:hAnsi="Quattrocento Sans"/>
                <w:color w:val="000000"/>
                <w:sz w:val="18"/>
                <w:szCs w:val="18"/>
                <w:lang w:eastAsia="it-IT"/>
              </w:rPr>
            </w:pPr>
            <w:r w:rsidRPr="005B753E">
              <w:rPr>
                <w:rFonts w:ascii="Quattrocento Sans" w:eastAsia="Times New Roman" w:hAnsi="Quattrocento Sans"/>
                <w:b/>
                <w:bCs/>
                <w:color w:val="000000"/>
                <w:sz w:val="18"/>
                <w:szCs w:val="18"/>
                <w:bdr w:val="single" w:sz="2" w:space="0" w:color="E5E7EB" w:frame="1"/>
                <w:lang w:eastAsia="it-IT"/>
              </w:rPr>
              <w:t>Riassegnazione veicolo a diverso dipendente</w:t>
            </w:r>
          </w:p>
        </w:tc>
        <w:tc>
          <w:tcPr>
            <w:tcW w:w="8505" w:type="dxa"/>
            <w:gridSpan w:val="2"/>
            <w:tcBorders>
              <w:top w:val="single" w:sz="6" w:space="0" w:color="000B12"/>
              <w:left w:val="single" w:sz="6" w:space="0" w:color="000B12"/>
              <w:bottom w:val="single" w:sz="6" w:space="0" w:color="000B12"/>
              <w:right w:val="single" w:sz="6" w:space="0" w:color="000B12"/>
            </w:tcBorders>
            <w:shd w:val="clear" w:color="auto" w:fill="FFFFFF"/>
            <w:tcMar>
              <w:top w:w="120" w:type="dxa"/>
              <w:left w:w="120" w:type="dxa"/>
              <w:bottom w:w="120" w:type="dxa"/>
              <w:right w:w="120" w:type="dxa"/>
            </w:tcMar>
            <w:vAlign w:val="center"/>
            <w:hideMark/>
          </w:tcPr>
          <w:p w14:paraId="0E17D9FC" w14:textId="77777777" w:rsidR="005B753E" w:rsidRPr="005B753E" w:rsidRDefault="005B753E" w:rsidP="005B753E">
            <w:pPr>
              <w:pBdr>
                <w:top w:val="single" w:sz="2" w:space="0" w:color="E5E7EB"/>
                <w:left w:val="single" w:sz="2" w:space="0" w:color="E5E7EB"/>
                <w:bottom w:val="single" w:sz="2" w:space="0" w:color="E5E7EB"/>
                <w:right w:val="single" w:sz="2" w:space="0" w:color="E5E7EB"/>
              </w:pBdr>
              <w:ind w:left="0"/>
              <w:jc w:val="left"/>
              <w:rPr>
                <w:rFonts w:ascii="Quattrocento Sans" w:eastAsia="Times New Roman" w:hAnsi="Quattrocento Sans"/>
                <w:color w:val="000000"/>
                <w:sz w:val="18"/>
                <w:szCs w:val="18"/>
                <w:lang w:eastAsia="it-IT"/>
              </w:rPr>
            </w:pPr>
            <w:r w:rsidRPr="005B753E">
              <w:rPr>
                <w:rFonts w:ascii="Quattrocento Sans" w:eastAsia="Times New Roman" w:hAnsi="Quattrocento Sans"/>
                <w:color w:val="000000"/>
                <w:sz w:val="18"/>
                <w:szCs w:val="18"/>
                <w:lang w:eastAsia="it-IT"/>
              </w:rPr>
              <w:t>Disciplina da individuare sulla base delle disposizioni vigenti alla data di riassegnazione.</w:t>
            </w:r>
          </w:p>
        </w:tc>
      </w:tr>
    </w:tbl>
    <w:p w14:paraId="0EDE3E21" w14:textId="77777777" w:rsidR="005B753E" w:rsidRPr="005B753E" w:rsidRDefault="005B753E" w:rsidP="005B753E">
      <w:pPr>
        <w:shd w:val="clear" w:color="auto" w:fill="FFFFFF"/>
        <w:spacing w:line="270" w:lineRule="atLeast"/>
        <w:ind w:left="0"/>
        <w:rPr>
          <w:rFonts w:ascii="Open Sans" w:eastAsia="Times New Roman" w:hAnsi="Open Sans" w:cs="Open Sans"/>
          <w:spacing w:val="7"/>
          <w:lang w:eastAsia="it-IT"/>
        </w:rPr>
      </w:pPr>
    </w:p>
    <w:p w14:paraId="7F022936" w14:textId="77777777" w:rsidR="005B753E" w:rsidRPr="005B753E" w:rsidRDefault="005B753E" w:rsidP="005B753E">
      <w:pPr>
        <w:spacing w:after="200"/>
        <w:ind w:left="0"/>
        <w:jc w:val="left"/>
        <w:rPr>
          <w:rFonts w:ascii="Open Sans" w:eastAsia="Times New Roman" w:hAnsi="Open Sans" w:cs="Open Sans"/>
          <w:spacing w:val="7"/>
          <w:lang w:eastAsia="it-IT"/>
        </w:rPr>
      </w:pPr>
      <w:r w:rsidRPr="005B753E">
        <w:rPr>
          <w:rFonts w:ascii="Open Sans" w:eastAsia="Times New Roman" w:hAnsi="Open Sans" w:cs="Open Sans"/>
          <w:spacing w:val="7"/>
          <w:lang w:eastAsia="it-IT"/>
        </w:rPr>
        <w:br w:type="page"/>
      </w:r>
    </w:p>
    <w:p w14:paraId="10F409C9" w14:textId="77777777" w:rsidR="005B753E" w:rsidRPr="005B753E" w:rsidRDefault="005B753E" w:rsidP="005B753E">
      <w:pPr>
        <w:shd w:val="clear" w:color="auto" w:fill="FFFFFF"/>
        <w:spacing w:after="375" w:line="270" w:lineRule="atLeast"/>
        <w:ind w:left="0"/>
        <w:rPr>
          <w:rFonts w:ascii="Open Sans" w:eastAsia="Times New Roman" w:hAnsi="Open Sans" w:cs="Open Sans"/>
          <w:b/>
          <w:bCs/>
          <w:color w:val="548DD4"/>
          <w:spacing w:val="7"/>
          <w:sz w:val="24"/>
          <w:szCs w:val="24"/>
          <w:lang w:eastAsia="it-IT"/>
        </w:rPr>
      </w:pPr>
      <w:r w:rsidRPr="005B753E">
        <w:rPr>
          <w:rFonts w:ascii="Open Sans" w:eastAsia="Times New Roman" w:hAnsi="Open Sans" w:cs="Open Sans"/>
          <w:b/>
          <w:bCs/>
          <w:color w:val="548DD4"/>
          <w:spacing w:val="7"/>
          <w:sz w:val="24"/>
          <w:szCs w:val="24"/>
          <w:lang w:eastAsia="it-IT"/>
        </w:rPr>
        <w:lastRenderedPageBreak/>
        <w:t>LAVORATORI CON GRAVI PATOLOGIE: nuove tutele 2025</w:t>
      </w:r>
    </w:p>
    <w:p w14:paraId="7D281F96" w14:textId="77777777" w:rsidR="005B753E" w:rsidRPr="005B753E" w:rsidRDefault="005B753E" w:rsidP="005B753E">
      <w:pPr>
        <w:shd w:val="clear" w:color="auto" w:fill="FFFFFF"/>
        <w:spacing w:after="375" w:line="270" w:lineRule="atLeast"/>
        <w:ind w:left="0"/>
        <w:rPr>
          <w:rFonts w:ascii="Open Sans" w:eastAsia="Times New Roman" w:hAnsi="Open Sans" w:cs="Open Sans"/>
          <w:spacing w:val="7"/>
          <w:lang w:eastAsia="it-IT"/>
        </w:rPr>
      </w:pPr>
      <w:r w:rsidRPr="005B753E">
        <w:rPr>
          <w:rFonts w:ascii="Open Sans" w:eastAsia="Times New Roman" w:hAnsi="Open Sans" w:cs="Open Sans"/>
          <w:spacing w:val="7"/>
          <w:lang w:eastAsia="it-IT"/>
        </w:rPr>
        <w:t>Al 9 agosto 2025 entra in vigore la Legge 18 luglio 2025, n.</w:t>
      </w:r>
      <w:r w:rsidRPr="005B753E">
        <w:rPr>
          <w:rFonts w:ascii="Arial" w:eastAsia="Times New Roman" w:hAnsi="Arial" w:cs="Arial"/>
          <w:spacing w:val="7"/>
          <w:lang w:eastAsia="it-IT"/>
        </w:rPr>
        <w:t> </w:t>
      </w:r>
      <w:r w:rsidRPr="005B753E">
        <w:rPr>
          <w:rFonts w:ascii="Open Sans" w:eastAsia="Times New Roman" w:hAnsi="Open Sans" w:cs="Open Sans"/>
          <w:spacing w:val="7"/>
          <w:lang w:eastAsia="it-IT"/>
        </w:rPr>
        <w:t>106, pubblicata in Gazzetta Ufficiale n.</w:t>
      </w:r>
      <w:r w:rsidRPr="005B753E">
        <w:rPr>
          <w:rFonts w:ascii="Arial" w:eastAsia="Times New Roman" w:hAnsi="Arial" w:cs="Arial"/>
          <w:spacing w:val="7"/>
          <w:lang w:eastAsia="it-IT"/>
        </w:rPr>
        <w:t> </w:t>
      </w:r>
      <w:r w:rsidRPr="005B753E">
        <w:rPr>
          <w:rFonts w:ascii="Open Sans" w:eastAsia="Times New Roman" w:hAnsi="Open Sans" w:cs="Open Sans"/>
          <w:spacing w:val="7"/>
          <w:lang w:eastAsia="it-IT"/>
        </w:rPr>
        <w:t>171 del 25 luglio 2025, che introduce importanti misure a favore dei lavoratori affetti da malattie oncologiche, invalidanti o croniche.</w:t>
      </w:r>
      <w:hyperlink r:id="rId18" w:history="1">
        <w:r w:rsidRPr="005B753E">
          <w:rPr>
            <w:rFonts w:ascii="Open Sans" w:eastAsia="Times New Roman" w:hAnsi="Open Sans" w:cs="Open Sans"/>
            <w:spacing w:val="7"/>
            <w:lang w:eastAsia="it-IT"/>
          </w:rPr>
          <w:t> </w:t>
        </w:r>
      </w:hyperlink>
    </w:p>
    <w:p w14:paraId="0750A6D8" w14:textId="77777777" w:rsidR="005B753E" w:rsidRPr="005B753E" w:rsidRDefault="005B753E" w:rsidP="005B753E">
      <w:pPr>
        <w:shd w:val="clear" w:color="auto" w:fill="FFFFFF"/>
        <w:spacing w:after="375" w:line="270" w:lineRule="atLeast"/>
        <w:ind w:left="0"/>
        <w:rPr>
          <w:rFonts w:ascii="Open Sans" w:eastAsia="Times New Roman" w:hAnsi="Open Sans" w:cs="Open Sans"/>
          <w:spacing w:val="7"/>
          <w:lang w:eastAsia="it-IT"/>
        </w:rPr>
      </w:pPr>
      <w:r w:rsidRPr="005B753E">
        <w:rPr>
          <w:rFonts w:ascii="Open Sans" w:eastAsia="Times New Roman" w:hAnsi="Open Sans" w:cs="Open Sans"/>
          <w:spacing w:val="7"/>
          <w:lang w:eastAsia="it-IT"/>
        </w:rPr>
        <w:t>Obiettivo della norma è rafforzare le tutele già esistenti, aggiungendo congedi straordinari e permessi retribuiti, in un quadro che mira a bilanciare il diritto del lavoratore alla cura con il mantenimento del </w:t>
      </w:r>
      <w:hyperlink r:id="rId19" w:history="1">
        <w:r w:rsidRPr="005B753E">
          <w:rPr>
            <w:rFonts w:ascii="Open Sans" w:eastAsia="Times New Roman" w:hAnsi="Open Sans" w:cs="Open Sans"/>
            <w:spacing w:val="7"/>
            <w:lang w:eastAsia="it-IT"/>
          </w:rPr>
          <w:t>rapporto di lavoro</w:t>
        </w:r>
      </w:hyperlink>
      <w:r w:rsidRPr="005B753E">
        <w:rPr>
          <w:rFonts w:ascii="Open Sans" w:eastAsia="Times New Roman" w:hAnsi="Open Sans" w:cs="Open Sans"/>
          <w:spacing w:val="7"/>
          <w:lang w:eastAsia="it-IT"/>
        </w:rPr>
        <w:t>.</w:t>
      </w:r>
      <w:hyperlink r:id="rId20" w:history="1">
        <w:r w:rsidRPr="005B753E">
          <w:rPr>
            <w:rFonts w:ascii="Open Sans" w:eastAsia="Times New Roman" w:hAnsi="Open Sans" w:cs="Open Sans"/>
            <w:spacing w:val="7"/>
            <w:lang w:eastAsia="it-IT"/>
          </w:rPr>
          <w:t> </w:t>
        </w:r>
      </w:hyperlink>
    </w:p>
    <w:p w14:paraId="3C1D6EEE" w14:textId="77777777" w:rsidR="005B753E" w:rsidRPr="005B753E" w:rsidRDefault="005B753E" w:rsidP="005B753E">
      <w:pPr>
        <w:shd w:val="clear" w:color="auto" w:fill="FFFFFF"/>
        <w:spacing w:after="375" w:line="270" w:lineRule="atLeast"/>
        <w:ind w:left="0"/>
        <w:rPr>
          <w:rFonts w:ascii="Open Sans" w:eastAsia="Times New Roman" w:hAnsi="Open Sans" w:cs="Open Sans"/>
          <w:spacing w:val="7"/>
          <w:lang w:eastAsia="it-IT"/>
        </w:rPr>
      </w:pPr>
      <w:r w:rsidRPr="005B753E">
        <w:rPr>
          <w:rFonts w:ascii="Open Sans" w:eastAsia="Times New Roman" w:hAnsi="Open Sans" w:cs="Open Sans"/>
          <w:spacing w:val="7"/>
          <w:lang w:eastAsia="it-IT"/>
        </w:rPr>
        <w:t>Le nuove tutele riguardano i lavoratori dipendenti di datori di lavoro pubblici o privati, affetti da malattie oncologiche, invalidanti o croniche (anche rare), che comportino un grado di invalidità pari o superiore al 74</w:t>
      </w:r>
      <w:r w:rsidRPr="005B753E">
        <w:rPr>
          <w:rFonts w:ascii="Arial" w:eastAsia="Times New Roman" w:hAnsi="Arial" w:cs="Arial"/>
          <w:spacing w:val="7"/>
          <w:lang w:eastAsia="it-IT"/>
        </w:rPr>
        <w:t> </w:t>
      </w:r>
      <w:r w:rsidRPr="005B753E">
        <w:rPr>
          <w:rFonts w:ascii="Open Sans" w:eastAsia="Times New Roman" w:hAnsi="Open Sans" w:cs="Open Sans"/>
          <w:spacing w:val="7"/>
          <w:lang w:eastAsia="it-IT"/>
        </w:rPr>
        <w:t>%.</w:t>
      </w:r>
    </w:p>
    <w:p w14:paraId="50357EB8" w14:textId="77777777" w:rsidR="005B753E" w:rsidRPr="005B753E" w:rsidRDefault="005B753E" w:rsidP="005B753E">
      <w:pPr>
        <w:shd w:val="clear" w:color="auto" w:fill="FFFFFF"/>
        <w:spacing w:after="375" w:line="270" w:lineRule="atLeast"/>
        <w:ind w:left="0"/>
        <w:rPr>
          <w:rFonts w:ascii="Open Sans" w:eastAsia="Times New Roman" w:hAnsi="Open Sans" w:cs="Open Sans"/>
          <w:spacing w:val="7"/>
          <w:lang w:eastAsia="it-IT"/>
        </w:rPr>
      </w:pPr>
      <w:r w:rsidRPr="005B753E">
        <w:rPr>
          <w:rFonts w:ascii="Open Sans" w:eastAsia="Times New Roman" w:hAnsi="Open Sans" w:cs="Open Sans"/>
          <w:spacing w:val="7"/>
          <w:lang w:eastAsia="it-IT"/>
        </w:rPr>
        <w:t>La certificazione della patologia e del relativo grado di invalidità dovrà essere rilasciata da medico di medicina generale o specialista, operante in strutture pubbliche o accreditate, come previsto dal testo di legge.</w:t>
      </w:r>
      <w:hyperlink r:id="rId21" w:history="1">
        <w:r w:rsidRPr="005B753E">
          <w:rPr>
            <w:rFonts w:ascii="Open Sans" w:eastAsia="Times New Roman" w:hAnsi="Open Sans" w:cs="Open Sans"/>
            <w:spacing w:val="7"/>
            <w:lang w:eastAsia="it-IT"/>
          </w:rPr>
          <w:t> </w:t>
        </w:r>
      </w:hyperlink>
    </w:p>
    <w:p w14:paraId="2F4B4604" w14:textId="77777777" w:rsidR="005B753E" w:rsidRPr="005B753E" w:rsidRDefault="005B753E" w:rsidP="005B753E">
      <w:pPr>
        <w:shd w:val="clear" w:color="auto" w:fill="FFFFFF"/>
        <w:spacing w:after="375" w:line="270" w:lineRule="atLeast"/>
        <w:ind w:left="0"/>
        <w:rPr>
          <w:rFonts w:ascii="Open Sans" w:eastAsia="Times New Roman" w:hAnsi="Open Sans" w:cs="Open Sans"/>
          <w:b/>
          <w:bCs/>
          <w:spacing w:val="7"/>
          <w:lang w:eastAsia="it-IT"/>
        </w:rPr>
      </w:pPr>
      <w:r w:rsidRPr="005B753E">
        <w:rPr>
          <w:rFonts w:ascii="Open Sans" w:eastAsia="Times New Roman" w:hAnsi="Open Sans" w:cs="Open Sans"/>
          <w:b/>
          <w:bCs/>
          <w:spacing w:val="7"/>
          <w:lang w:eastAsia="it-IT"/>
        </w:rPr>
        <w:t xml:space="preserve">Congedo non superiore a 24 mesi </w:t>
      </w:r>
    </w:p>
    <w:p w14:paraId="75C9D3E1" w14:textId="77777777" w:rsidR="005B753E" w:rsidRPr="005B753E" w:rsidRDefault="005B753E" w:rsidP="005B753E">
      <w:pPr>
        <w:shd w:val="clear" w:color="auto" w:fill="FFFFFF"/>
        <w:spacing w:after="375" w:line="270" w:lineRule="atLeast"/>
        <w:ind w:left="0"/>
        <w:rPr>
          <w:rFonts w:ascii="Open Sans" w:eastAsia="Times New Roman" w:hAnsi="Open Sans" w:cs="Open Sans"/>
          <w:b/>
          <w:bCs/>
          <w:spacing w:val="7"/>
          <w:lang w:eastAsia="it-IT"/>
        </w:rPr>
      </w:pPr>
      <w:r w:rsidRPr="005B753E">
        <w:rPr>
          <w:rFonts w:ascii="Open Sans" w:eastAsia="Times New Roman" w:hAnsi="Open Sans" w:cs="Open Sans"/>
          <w:spacing w:val="7"/>
          <w:lang w:eastAsia="it-IT"/>
        </w:rPr>
        <w:t xml:space="preserve">I lavoratori possono richiedere un </w:t>
      </w:r>
      <w:hyperlink r:id="rId22" w:history="1">
        <w:r w:rsidRPr="005B753E">
          <w:rPr>
            <w:rFonts w:ascii="Open Sans" w:eastAsia="Times New Roman" w:hAnsi="Open Sans" w:cs="Open Sans"/>
            <w:spacing w:val="7"/>
            <w:lang w:eastAsia="it-IT"/>
          </w:rPr>
          <w:t>congedo</w:t>
        </w:r>
      </w:hyperlink>
      <w:r w:rsidRPr="005B753E">
        <w:rPr>
          <w:rFonts w:ascii="Open Sans" w:eastAsia="Times New Roman" w:hAnsi="Open Sans" w:cs="Open Sans"/>
          <w:spacing w:val="7"/>
          <w:lang w:eastAsia="it-IT"/>
        </w:rPr>
        <w:t> non retribuito, in modalità continuativa o frazionata, per un massimo di 24 mesi, a partire dall’esaurimento degli altri periodi di assenze giustificata (con o senza retribuzione), spettanti a qualunque titolo. </w:t>
      </w:r>
    </w:p>
    <w:p w14:paraId="5AD24311" w14:textId="77777777" w:rsidR="005B753E" w:rsidRPr="005B753E" w:rsidRDefault="005B753E" w:rsidP="005B753E">
      <w:pPr>
        <w:shd w:val="clear" w:color="auto" w:fill="FFFFFF"/>
        <w:spacing w:after="375" w:line="270" w:lineRule="atLeast"/>
        <w:ind w:left="0"/>
        <w:rPr>
          <w:rFonts w:ascii="Open Sans" w:eastAsia="Times New Roman" w:hAnsi="Open Sans" w:cs="Open Sans"/>
          <w:spacing w:val="7"/>
          <w:lang w:eastAsia="it-IT"/>
        </w:rPr>
      </w:pPr>
      <w:r w:rsidRPr="005B753E">
        <w:rPr>
          <w:rFonts w:ascii="Open Sans" w:eastAsia="Times New Roman" w:hAnsi="Open Sans" w:cs="Open Sans"/>
          <w:spacing w:val="7"/>
          <w:lang w:eastAsia="it-IT"/>
        </w:rPr>
        <w:t>Durante il periodo di congedo:</w:t>
      </w:r>
    </w:p>
    <w:p w14:paraId="4F63C568" w14:textId="77777777" w:rsidR="005B753E" w:rsidRPr="005B753E" w:rsidRDefault="005B753E" w:rsidP="005B753E">
      <w:pPr>
        <w:numPr>
          <w:ilvl w:val="0"/>
          <w:numId w:val="20"/>
        </w:numPr>
        <w:shd w:val="clear" w:color="auto" w:fill="FFFFFF"/>
        <w:spacing w:after="375" w:line="270" w:lineRule="atLeast"/>
        <w:contextualSpacing/>
        <w:rPr>
          <w:rFonts w:ascii="Open Sans" w:eastAsia="Times New Roman" w:hAnsi="Open Sans" w:cs="Open Sans"/>
          <w:spacing w:val="7"/>
          <w:lang w:eastAsia="it-IT"/>
        </w:rPr>
      </w:pPr>
      <w:r w:rsidRPr="005B753E">
        <w:rPr>
          <w:rFonts w:ascii="Open Sans" w:eastAsia="Times New Roman" w:hAnsi="Open Sans" w:cs="Open Sans"/>
          <w:spacing w:val="7"/>
          <w:lang w:eastAsia="it-IT"/>
        </w:rPr>
        <w:t>Il lavoratore conserva il posto di lavoro, anche se non viene corrisposta retribuzione.</w:t>
      </w:r>
    </w:p>
    <w:p w14:paraId="419905A4" w14:textId="77777777" w:rsidR="005B753E" w:rsidRPr="005B753E" w:rsidRDefault="005B753E" w:rsidP="005B753E">
      <w:pPr>
        <w:numPr>
          <w:ilvl w:val="0"/>
          <w:numId w:val="20"/>
        </w:numPr>
        <w:shd w:val="clear" w:color="auto" w:fill="FFFFFF"/>
        <w:spacing w:after="375" w:line="270" w:lineRule="atLeast"/>
        <w:contextualSpacing/>
        <w:rPr>
          <w:rFonts w:ascii="Open Sans" w:eastAsia="Times New Roman" w:hAnsi="Open Sans" w:cs="Open Sans"/>
          <w:spacing w:val="7"/>
          <w:lang w:eastAsia="it-IT"/>
        </w:rPr>
      </w:pPr>
      <w:r w:rsidRPr="005B753E">
        <w:rPr>
          <w:rFonts w:ascii="Open Sans" w:eastAsia="Times New Roman" w:hAnsi="Open Sans" w:cs="Open Sans"/>
          <w:spacing w:val="7"/>
          <w:lang w:eastAsia="it-IT"/>
        </w:rPr>
        <w:t xml:space="preserve"> Non può svolgere alcuna attività lavorativa durante il congedo.</w:t>
      </w:r>
    </w:p>
    <w:p w14:paraId="267A3CC5" w14:textId="77777777" w:rsidR="005B753E" w:rsidRPr="005B753E" w:rsidRDefault="005B753E" w:rsidP="005B753E">
      <w:pPr>
        <w:numPr>
          <w:ilvl w:val="0"/>
          <w:numId w:val="20"/>
        </w:numPr>
        <w:shd w:val="clear" w:color="auto" w:fill="FFFFFF"/>
        <w:spacing w:after="375" w:line="270" w:lineRule="atLeast"/>
        <w:contextualSpacing/>
        <w:rPr>
          <w:rFonts w:ascii="Open Sans" w:eastAsia="Times New Roman" w:hAnsi="Open Sans" w:cs="Open Sans"/>
          <w:spacing w:val="7"/>
          <w:lang w:eastAsia="it-IT"/>
        </w:rPr>
      </w:pPr>
      <w:r w:rsidRPr="005B753E">
        <w:rPr>
          <w:rFonts w:ascii="Open Sans" w:eastAsia="Times New Roman" w:hAnsi="Open Sans" w:cs="Open Sans"/>
          <w:spacing w:val="7"/>
          <w:lang w:eastAsia="it-IT"/>
        </w:rPr>
        <w:t xml:space="preserve"> Il periodo di congedo non è computato nell’anzianità di servizio né ai fini previdenziali, ma il lavoratore può decidere di riscattarlo mediante versamento dei contributi volontari (prosecuzione volontaria) se lo desidera. </w:t>
      </w:r>
    </w:p>
    <w:p w14:paraId="129FC317" w14:textId="2E789657" w:rsidR="005B753E" w:rsidRPr="008271E4" w:rsidRDefault="005B753E" w:rsidP="008271E4">
      <w:pPr>
        <w:shd w:val="clear" w:color="auto" w:fill="FFFFFF"/>
        <w:spacing w:after="375" w:line="270" w:lineRule="atLeast"/>
        <w:ind w:left="0"/>
        <w:rPr>
          <w:rFonts w:ascii="Open Sans" w:eastAsia="Times New Roman" w:hAnsi="Open Sans" w:cs="Open Sans"/>
          <w:spacing w:val="7"/>
          <w:lang w:eastAsia="it-IT"/>
        </w:rPr>
      </w:pPr>
      <w:r w:rsidRPr="005B753E">
        <w:rPr>
          <w:rFonts w:ascii="Open Sans" w:eastAsia="Times New Roman" w:hAnsi="Open Sans" w:cs="Open Sans"/>
          <w:spacing w:val="7"/>
          <w:lang w:eastAsia="it-IT"/>
        </w:rPr>
        <w:t>Allo scadere del congedo, se la prestazione lavorativa lo consente, il lavoratore ha diritto, in via prioritaria, all’accesso al lavoro agile (smart working).</w:t>
      </w:r>
    </w:p>
    <w:p w14:paraId="2CFB008F" w14:textId="31812928" w:rsidR="005B753E" w:rsidRPr="00640192" w:rsidRDefault="005B753E" w:rsidP="00640192">
      <w:pPr>
        <w:spacing w:after="200"/>
        <w:ind w:left="0"/>
        <w:jc w:val="left"/>
        <w:rPr>
          <w:rFonts w:ascii="Open Sans" w:eastAsia="Times New Roman" w:hAnsi="Open Sans" w:cs="Open Sans"/>
          <w:b/>
          <w:bCs/>
          <w:spacing w:val="7"/>
          <w:lang w:eastAsia="it-IT"/>
        </w:rPr>
      </w:pPr>
      <w:r w:rsidRPr="005B753E">
        <w:rPr>
          <w:rFonts w:ascii="Open Sans" w:eastAsia="Times New Roman" w:hAnsi="Open Sans" w:cs="Open Sans"/>
          <w:b/>
          <w:bCs/>
          <w:spacing w:val="7"/>
          <w:lang w:eastAsia="it-IT"/>
        </w:rPr>
        <w:t>Permessi retribuiti aggiuntivi</w:t>
      </w:r>
    </w:p>
    <w:p w14:paraId="215451DD" w14:textId="68EB7BD8" w:rsidR="005B753E" w:rsidRPr="005B753E" w:rsidRDefault="005B753E" w:rsidP="005B753E">
      <w:pPr>
        <w:shd w:val="clear" w:color="auto" w:fill="FFFFFF"/>
        <w:ind w:left="0"/>
        <w:rPr>
          <w:rFonts w:ascii="Open Sans" w:eastAsia="Times New Roman" w:hAnsi="Open Sans" w:cs="Open Sans"/>
          <w:spacing w:val="7"/>
          <w:lang w:eastAsia="it-IT"/>
        </w:rPr>
      </w:pPr>
      <w:r w:rsidRPr="005B753E">
        <w:rPr>
          <w:rFonts w:ascii="Open Sans" w:eastAsia="Times New Roman" w:hAnsi="Open Sans" w:cs="Open Sans"/>
          <w:spacing w:val="7"/>
          <w:lang w:eastAsia="it-IT"/>
        </w:rPr>
        <w:t xml:space="preserve">Inoltre, dal 1° gennaio 2026, per i dipendenti di datori di lavoro pubblici o privati affetti da malattie oncologiche in fase attiva o in follow-up precoce, ovvero da malattie invalidanti o croniche, anche rare, che comportino un grado di invalidità pari o superiore </w:t>
      </w:r>
      <w:r w:rsidRPr="005B753E">
        <w:rPr>
          <w:rFonts w:ascii="Open Sans" w:eastAsia="Times New Roman" w:hAnsi="Open Sans" w:cs="Open Sans"/>
          <w:spacing w:val="7"/>
          <w:lang w:eastAsia="it-IT"/>
        </w:rPr>
        <w:lastRenderedPageBreak/>
        <w:t xml:space="preserve">al 74%, previa prescrizione del medico di medicina generale o di un medico specialista operante in una struttura sanitaria pubblica o privata accreditata, sono previste, in aggiunta alle tutele della normativa vigente e dei CCNL, </w:t>
      </w:r>
      <w:r w:rsidRPr="005B753E">
        <w:rPr>
          <w:rFonts w:ascii="Open Sans" w:eastAsia="Times New Roman" w:hAnsi="Open Sans" w:cs="Open Sans"/>
          <w:spacing w:val="7"/>
          <w:u w:val="single"/>
          <w:lang w:eastAsia="it-IT"/>
        </w:rPr>
        <w:t>ulteriori 10 ore annue  di  permesso</w:t>
      </w:r>
      <w:r w:rsidRPr="005B753E">
        <w:rPr>
          <w:rFonts w:ascii="Open Sans" w:eastAsia="Times New Roman" w:hAnsi="Open Sans" w:cs="Open Sans"/>
          <w:spacing w:val="7"/>
          <w:lang w:eastAsia="it-IT"/>
        </w:rPr>
        <w:t xml:space="preserve">,  con  riconoscimento  dell’indennità  prevista  per  i  casi  di  gravi  patologie richiedenti terapie salvavita e ai lavoratori compete un’indennità economica determinata nelle misure e secondo le regole previste dalla normativa vigente in materia di malattia e della copertura figurativa,   per   i   periodi   utilizzati   per   visite,   esami   strumentali,   analisi   chimico - cliniche   e microbiologiche nonché cure mediche frequenti. </w:t>
      </w:r>
    </w:p>
    <w:p w14:paraId="3AD56114" w14:textId="77777777" w:rsidR="005B753E" w:rsidRPr="005B753E" w:rsidRDefault="005B753E" w:rsidP="005B753E">
      <w:pPr>
        <w:shd w:val="clear" w:color="auto" w:fill="FFFFFF"/>
        <w:ind w:left="0"/>
        <w:rPr>
          <w:rFonts w:ascii="Open Sans" w:eastAsia="Times New Roman" w:hAnsi="Open Sans" w:cs="Open Sans"/>
          <w:spacing w:val="7"/>
          <w:lang w:eastAsia="it-IT"/>
        </w:rPr>
      </w:pPr>
    </w:p>
    <w:p w14:paraId="26FA1548" w14:textId="77777777" w:rsidR="005B753E" w:rsidRPr="005B753E" w:rsidRDefault="005B753E" w:rsidP="005B753E">
      <w:pPr>
        <w:shd w:val="clear" w:color="auto" w:fill="FFFFFF"/>
        <w:ind w:left="0"/>
        <w:rPr>
          <w:rFonts w:ascii="Open Sans" w:eastAsia="Times New Roman" w:hAnsi="Open Sans" w:cs="Open Sans"/>
          <w:spacing w:val="7"/>
          <w:lang w:eastAsia="it-IT"/>
        </w:rPr>
      </w:pPr>
      <w:r w:rsidRPr="005B753E">
        <w:rPr>
          <w:rFonts w:ascii="Open Sans" w:eastAsia="Times New Roman" w:hAnsi="Open Sans" w:cs="Open Sans"/>
          <w:spacing w:val="7"/>
          <w:lang w:eastAsia="it-IT"/>
        </w:rPr>
        <w:t>Tale diritto è riconosciuto anche ai dipendenti di datori di lavoro pubblici o privati con figlio minorenne affetto da malattie oncologiche, in fase attiva o in follow-up precoce, ovvero da malattie invalidanti o croniche, anche rare, che comportino un grado di invalidità pari o superiore al 74%.</w:t>
      </w:r>
    </w:p>
    <w:p w14:paraId="630F3CE7" w14:textId="77777777" w:rsidR="005B753E" w:rsidRPr="005B753E" w:rsidRDefault="005B753E" w:rsidP="005B753E">
      <w:pPr>
        <w:shd w:val="clear" w:color="auto" w:fill="FFFFFF"/>
        <w:ind w:left="0"/>
        <w:rPr>
          <w:rFonts w:ascii="Open Sans" w:eastAsia="Times New Roman" w:hAnsi="Open Sans" w:cs="Open Sans"/>
          <w:spacing w:val="7"/>
          <w:lang w:eastAsia="it-IT"/>
        </w:rPr>
      </w:pPr>
      <w:r w:rsidRPr="005B753E">
        <w:rPr>
          <w:rFonts w:ascii="Open Sans" w:eastAsia="Times New Roman" w:hAnsi="Open Sans" w:cs="Open Sans"/>
          <w:spacing w:val="7"/>
          <w:lang w:eastAsia="it-IT"/>
        </w:rPr>
        <w:t>Nel settore privato, l’indennità è direttamente corrisposta dai datori di lavoro e successivamente dagli stessi recuperata tramite conguaglio con i contributi dovuti all’ente previdenziale.</w:t>
      </w:r>
    </w:p>
    <w:p w14:paraId="5AA04A46" w14:textId="77777777" w:rsidR="005B753E" w:rsidRPr="005B753E" w:rsidRDefault="005B753E" w:rsidP="005B753E">
      <w:pPr>
        <w:shd w:val="clear" w:color="auto" w:fill="FFFFFF"/>
        <w:ind w:left="0"/>
        <w:rPr>
          <w:rFonts w:ascii="Open Sans" w:eastAsia="Times New Roman" w:hAnsi="Open Sans" w:cs="Open Sans"/>
          <w:b/>
          <w:bCs/>
          <w:spacing w:val="7"/>
          <w:lang w:eastAsia="it-IT"/>
        </w:rPr>
      </w:pPr>
      <w:r w:rsidRPr="005B753E">
        <w:rPr>
          <w:rFonts w:ascii="Open Sans" w:eastAsia="Times New Roman" w:hAnsi="Open Sans" w:cs="Open Sans"/>
          <w:b/>
          <w:bCs/>
          <w:spacing w:val="7"/>
          <w:lang w:eastAsia="it-IT"/>
        </w:rPr>
        <w:br/>
        <w:t>Applicazione anche ai lavoratori autonomi</w:t>
      </w:r>
    </w:p>
    <w:p w14:paraId="524E4FE5" w14:textId="77777777" w:rsidR="005B753E" w:rsidRPr="005B753E" w:rsidRDefault="005B753E" w:rsidP="005B753E">
      <w:pPr>
        <w:shd w:val="clear" w:color="auto" w:fill="FFFFFF"/>
        <w:ind w:left="0"/>
        <w:rPr>
          <w:rFonts w:ascii="Open Sans" w:eastAsia="Times New Roman" w:hAnsi="Open Sans" w:cs="Open Sans"/>
          <w:b/>
          <w:bCs/>
          <w:spacing w:val="7"/>
          <w:lang w:eastAsia="it-IT"/>
        </w:rPr>
      </w:pPr>
    </w:p>
    <w:p w14:paraId="215BF6AF" w14:textId="77777777" w:rsidR="005B753E" w:rsidRPr="005B753E" w:rsidRDefault="005B753E" w:rsidP="005B753E">
      <w:pPr>
        <w:shd w:val="clear" w:color="auto" w:fill="FFFFFF"/>
        <w:ind w:left="0"/>
        <w:rPr>
          <w:rFonts w:ascii="Open Sans" w:eastAsia="Times New Roman" w:hAnsi="Open Sans" w:cs="Open Sans"/>
          <w:spacing w:val="7"/>
          <w:lang w:eastAsia="it-IT"/>
        </w:rPr>
      </w:pPr>
      <w:r w:rsidRPr="005B753E">
        <w:rPr>
          <w:rFonts w:ascii="Open Sans" w:eastAsia="Times New Roman" w:hAnsi="Open Sans" w:cs="Open Sans"/>
          <w:spacing w:val="7"/>
          <w:lang w:eastAsia="it-IT"/>
        </w:rPr>
        <w:t>La legge 106/2025 estende alcune tutele anche ai lavoratori autonomi che prestino attività in via continuativa. In particolare, è prevista la sospensione dell’attività fino a 300 giorni all’anno, compatibilmente con l’incarico continuativo.</w:t>
      </w:r>
      <w:hyperlink r:id="rId23" w:history="1">
        <w:r w:rsidRPr="005B753E">
          <w:rPr>
            <w:rFonts w:ascii="Open Sans" w:eastAsia="Times New Roman" w:hAnsi="Open Sans" w:cs="Open Sans"/>
            <w:spacing w:val="7"/>
            <w:lang w:eastAsia="it-IT"/>
          </w:rPr>
          <w:br/>
        </w:r>
        <w:r w:rsidRPr="005B753E">
          <w:rPr>
            <w:rFonts w:ascii="Open Sans" w:eastAsia="Times New Roman" w:hAnsi="Open Sans" w:cs="Open Sans"/>
            <w:spacing w:val="7"/>
            <w:lang w:eastAsia="it-IT"/>
          </w:rPr>
          <w:br/>
        </w:r>
      </w:hyperlink>
      <w:r w:rsidRPr="005B753E">
        <w:rPr>
          <w:rFonts w:ascii="Open Sans" w:eastAsia="Times New Roman" w:hAnsi="Open Sans" w:cs="Open Sans"/>
          <w:spacing w:val="7"/>
          <w:lang w:eastAsia="it-IT"/>
        </w:rPr>
        <w:t>Durante il periodo di sospensione, il lavoratore autonomo non percepisce compenso, ma ottiene comunque la conservazione del rapporto con il committente.</w:t>
      </w:r>
    </w:p>
    <w:p w14:paraId="60136007" w14:textId="632C5933" w:rsidR="005B753E" w:rsidRPr="005B753E" w:rsidRDefault="005B753E" w:rsidP="005B753E">
      <w:pPr>
        <w:shd w:val="clear" w:color="auto" w:fill="FFFFFF"/>
        <w:ind w:left="0"/>
        <w:rPr>
          <w:rFonts w:ascii="Open Sans" w:eastAsia="Times New Roman" w:hAnsi="Open Sans" w:cs="Open Sans"/>
          <w:spacing w:val="7"/>
          <w:lang w:eastAsia="it-IT"/>
        </w:rPr>
      </w:pPr>
    </w:p>
    <w:p w14:paraId="6257DF2E" w14:textId="77777777" w:rsidR="005B753E" w:rsidRPr="005B753E" w:rsidRDefault="005B753E" w:rsidP="005B753E">
      <w:pPr>
        <w:shd w:val="clear" w:color="auto" w:fill="FFFFFF"/>
        <w:spacing w:after="375" w:line="270" w:lineRule="atLeast"/>
        <w:ind w:left="0"/>
        <w:rPr>
          <w:rFonts w:ascii="Open Sans" w:eastAsia="Times New Roman" w:hAnsi="Open Sans" w:cs="Open Sans"/>
          <w:spacing w:val="7"/>
          <w:lang w:eastAsia="it-IT"/>
        </w:rPr>
      </w:pPr>
      <w:r w:rsidRPr="005B753E">
        <w:rPr>
          <w:rFonts w:ascii="Open Sans" w:eastAsia="Times New Roman" w:hAnsi="Open Sans" w:cs="Open Sans"/>
          <w:spacing w:val="7"/>
          <w:lang w:eastAsia="it-IT"/>
        </w:rPr>
        <w:t xml:space="preserve">Lo Studio rimane a disposizione per eventuali ulteriori chiarimenti. </w:t>
      </w:r>
    </w:p>
    <w:p w14:paraId="6019E477" w14:textId="77777777" w:rsidR="005B753E" w:rsidRPr="005B753E" w:rsidRDefault="005B753E" w:rsidP="005B753E">
      <w:pPr>
        <w:shd w:val="clear" w:color="auto" w:fill="FFFFFF"/>
        <w:spacing w:after="375" w:line="270" w:lineRule="atLeast"/>
        <w:ind w:left="0"/>
        <w:rPr>
          <w:rFonts w:ascii="Open Sans" w:eastAsia="Times New Roman" w:hAnsi="Open Sans" w:cs="Open Sans"/>
          <w:spacing w:val="7"/>
          <w:lang w:eastAsia="it-IT"/>
        </w:rPr>
      </w:pPr>
      <w:r w:rsidRPr="005B753E">
        <w:rPr>
          <w:rFonts w:ascii="Open Sans" w:eastAsia="Times New Roman" w:hAnsi="Open Sans" w:cs="Open Sans"/>
          <w:spacing w:val="7"/>
          <w:lang w:eastAsia="it-IT"/>
        </w:rPr>
        <w:t xml:space="preserve">Distinti saluti. </w:t>
      </w:r>
    </w:p>
    <w:p w14:paraId="5C5E93A1" w14:textId="77777777" w:rsidR="005B753E" w:rsidRPr="005B753E" w:rsidRDefault="005B753E" w:rsidP="005B753E">
      <w:pPr>
        <w:shd w:val="clear" w:color="auto" w:fill="FFFFFF"/>
        <w:spacing w:after="375" w:line="270" w:lineRule="atLeast"/>
        <w:ind w:left="0"/>
        <w:rPr>
          <w:rFonts w:ascii="Open Sans" w:eastAsia="Times New Roman" w:hAnsi="Open Sans" w:cs="Open Sans"/>
          <w:b/>
          <w:bCs/>
          <w:color w:val="4F81BD"/>
          <w:spacing w:val="7"/>
          <w:lang w:eastAsia="it-IT"/>
        </w:rPr>
      </w:pPr>
      <w:r w:rsidRPr="005B753E">
        <w:rPr>
          <w:rFonts w:ascii="Open Sans" w:eastAsia="Times New Roman" w:hAnsi="Open Sans" w:cs="Open Sans"/>
          <w:b/>
          <w:bCs/>
          <w:color w:val="4F81BD"/>
          <w:spacing w:val="7"/>
          <w:lang w:eastAsia="it-IT"/>
        </w:rPr>
        <w:t xml:space="preserve">Studio Dafe STP S.r.l. </w:t>
      </w:r>
    </w:p>
    <w:bookmarkEnd w:id="0"/>
    <w:p w14:paraId="3C21C3C9" w14:textId="77777777" w:rsidR="00A507A2" w:rsidRPr="008271E4" w:rsidRDefault="00A507A2" w:rsidP="005B753E">
      <w:pPr>
        <w:rPr>
          <w:sz w:val="20"/>
          <w:szCs w:val="20"/>
        </w:rPr>
      </w:pPr>
    </w:p>
    <w:sectPr w:rsidR="00A507A2" w:rsidRPr="008271E4" w:rsidSect="00640192">
      <w:headerReference w:type="default" r:id="rId24"/>
      <w:footerReference w:type="default" r:id="rId25"/>
      <w:pgSz w:w="11900" w:h="16840"/>
      <w:pgMar w:top="1985" w:right="1134" w:bottom="2127" w:left="1134" w:header="424" w:footer="233"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E71C4" w14:textId="77777777" w:rsidR="00C36F3E" w:rsidRDefault="00C36F3E" w:rsidP="003C3067">
      <w:r>
        <w:separator/>
      </w:r>
    </w:p>
  </w:endnote>
  <w:endnote w:type="continuationSeparator" w:id="0">
    <w:p w14:paraId="7BB1BB22" w14:textId="77777777" w:rsidR="00C36F3E" w:rsidRDefault="00C36F3E" w:rsidP="003C3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Sans">
    <w:charset w:val="00"/>
    <w:family w:val="swiss"/>
    <w:pitch w:val="variable"/>
    <w:sig w:usb0="A00002EF" w:usb1="5000204B" w:usb2="00000000" w:usb3="00000000" w:csb0="00000097"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ヒラギノ角ゴ Pro W3">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altName w:val="Times New Roman"/>
    <w:charset w:val="00"/>
    <w:family w:val="swiss"/>
    <w:pitch w:val="variable"/>
    <w:sig w:usb0="E1000AEF" w:usb1="5000A1FF" w:usb2="00000000" w:usb3="00000000" w:csb0="000001BF" w:csb1="00000000"/>
  </w:font>
  <w:font w:name="Times">
    <w:panose1 w:val="02020603050405020304"/>
    <w:charset w:val="00"/>
    <w:family w:val="roman"/>
    <w:pitch w:val="variable"/>
    <w:sig w:usb0="00000003" w:usb1="00000000" w:usb2="00000000" w:usb3="00000000" w:csb0="00000001" w:csb1="00000000"/>
  </w:font>
  <w:font w:name="Calibri-Bold">
    <w:altName w:val="Times New 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InfoTextOT-Italic">
    <w:panose1 w:val="00000000000000000000"/>
    <w:charset w:val="00"/>
    <w:family w:val="swiss"/>
    <w:notTrueType/>
    <w:pitch w:val="variable"/>
    <w:sig w:usb0="800000EF" w:usb1="4000207B" w:usb2="00000008" w:usb3="00000000" w:csb0="00000001" w:csb1="00000000"/>
  </w:font>
  <w:font w:name="Titillium Web">
    <w:charset w:val="00"/>
    <w:family w:val="auto"/>
    <w:pitch w:val="variable"/>
    <w:sig w:usb0="00000007" w:usb1="00000001" w:usb2="00000000" w:usb3="00000000" w:csb0="00000093" w:csb1="00000000"/>
  </w:font>
  <w:font w:name="Quattrocento Sans">
    <w:charset w:val="00"/>
    <w:family w:val="swiss"/>
    <w:pitch w:val="variable"/>
    <w:sig w:usb0="800000BF" w:usb1="4000005B" w:usb2="00000000" w:usb3="00000000" w:csb0="00000001" w:csb1="00000000"/>
  </w:font>
  <w:font w:name="Rockwell">
    <w:panose1 w:val="02060603020205020403"/>
    <w:charset w:val="00"/>
    <w:family w:val="roman"/>
    <w:pitch w:val="variable"/>
    <w:sig w:usb0="00000007" w:usb1="00000000" w:usb2="00000000" w:usb3="00000000" w:csb0="00000003" w:csb1="00000000"/>
  </w:font>
  <w:font w:name="Aharoni">
    <w:charset w:val="B1"/>
    <w:family w:val="auto"/>
    <w:pitch w:val="variable"/>
    <w:sig w:usb0="00000803" w:usb1="00000000" w:usb2="00000000" w:usb3="00000000" w:csb0="0000002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4398E" w14:textId="3FE0992F" w:rsidR="003C3067" w:rsidRDefault="00E802A3" w:rsidP="001F0405">
    <w:pPr>
      <w:pStyle w:val="Pidipagina"/>
      <w:ind w:left="-851" w:hanging="142"/>
    </w:pPr>
    <w:r>
      <w:rPr>
        <w:noProof/>
      </w:rPr>
      <w:drawing>
        <wp:anchor distT="0" distB="0" distL="114300" distR="114300" simplePos="0" relativeHeight="251672576" behindDoc="0" locked="0" layoutInCell="1" allowOverlap="1" wp14:anchorId="4056D899" wp14:editId="2BEB7FC9">
          <wp:simplePos x="0" y="0"/>
          <wp:positionH relativeFrom="column">
            <wp:posOffset>-709138</wp:posOffset>
          </wp:positionH>
          <wp:positionV relativeFrom="paragraph">
            <wp:posOffset>-522964</wp:posOffset>
          </wp:positionV>
          <wp:extent cx="7555441" cy="824230"/>
          <wp:effectExtent l="0" t="0" r="7620" b="0"/>
          <wp:wrapNone/>
          <wp:docPr id="2140690703" name="Immagine 2140690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92265" name="Immagine 180492265"/>
                  <pic:cNvPicPr/>
                </pic:nvPicPr>
                <pic:blipFill>
                  <a:blip r:embed="rId1"/>
                  <a:stretch>
                    <a:fillRect/>
                  </a:stretch>
                </pic:blipFill>
                <pic:spPr>
                  <a:xfrm>
                    <a:off x="0" y="0"/>
                    <a:ext cx="7555441" cy="824230"/>
                  </a:xfrm>
                  <a:prstGeom prst="rect">
                    <a:avLst/>
                  </a:prstGeom>
                </pic:spPr>
              </pic:pic>
            </a:graphicData>
          </a:graphic>
          <wp14:sizeRelH relativeFrom="margin">
            <wp14:pctWidth>0</wp14:pctWidth>
          </wp14:sizeRelH>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E9BD7" w14:textId="77777777" w:rsidR="00C36F3E" w:rsidRDefault="00C36F3E" w:rsidP="003C3067">
      <w:r>
        <w:separator/>
      </w:r>
    </w:p>
  </w:footnote>
  <w:footnote w:type="continuationSeparator" w:id="0">
    <w:p w14:paraId="2C304BB0" w14:textId="77777777" w:rsidR="00C36F3E" w:rsidRDefault="00C36F3E" w:rsidP="003C30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3C49C" w14:textId="26617D83" w:rsidR="003C3067" w:rsidRDefault="00A725FF" w:rsidP="001F0405">
    <w:pPr>
      <w:pStyle w:val="Intestazione"/>
      <w:tabs>
        <w:tab w:val="clear" w:pos="4819"/>
        <w:tab w:val="clear" w:pos="9638"/>
        <w:tab w:val="center" w:pos="5570"/>
      </w:tabs>
      <w:ind w:left="-993" w:right="-709"/>
    </w:pPr>
    <w:r>
      <w:rPr>
        <w:noProof/>
      </w:rPr>
      <w:drawing>
        <wp:anchor distT="0" distB="0" distL="114300" distR="114300" simplePos="0" relativeHeight="251662336" behindDoc="1" locked="0" layoutInCell="1" allowOverlap="1" wp14:anchorId="7660574A" wp14:editId="247CBC14">
          <wp:simplePos x="0" y="0"/>
          <wp:positionH relativeFrom="column">
            <wp:posOffset>-751895</wp:posOffset>
          </wp:positionH>
          <wp:positionV relativeFrom="paragraph">
            <wp:posOffset>-237435</wp:posOffset>
          </wp:positionV>
          <wp:extent cx="12177913" cy="1071880"/>
          <wp:effectExtent l="0" t="0" r="0" b="0"/>
          <wp:wrapNone/>
          <wp:docPr id="569027258" name="Immagine 569027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750910" name="Immagine 1115750910"/>
                  <pic:cNvPicPr/>
                </pic:nvPicPr>
                <pic:blipFill>
                  <a:blip r:embed="rId1"/>
                  <a:stretch>
                    <a:fillRect/>
                  </a:stretch>
                </pic:blipFill>
                <pic:spPr>
                  <a:xfrm>
                    <a:off x="0" y="0"/>
                    <a:ext cx="12177913" cy="1071880"/>
                  </a:xfrm>
                  <a:prstGeom prst="rect">
                    <a:avLst/>
                  </a:prstGeom>
                </pic:spPr>
              </pic:pic>
            </a:graphicData>
          </a:graphic>
          <wp14:sizeRelH relativeFrom="page">
            <wp14:pctWidth>0</wp14:pctWidth>
          </wp14:sizeRelH>
          <wp14:sizeRelV relativeFrom="page">
            <wp14:pctHeight>0</wp14:pctHeight>
          </wp14:sizeRelV>
        </wp:anchor>
      </w:drawing>
    </w:r>
    <w:r w:rsidR="001F0405">
      <w:rPr>
        <w:noProof/>
      </w:rPr>
      <mc:AlternateContent>
        <mc:Choice Requires="wps">
          <w:drawing>
            <wp:anchor distT="0" distB="0" distL="114300" distR="114300" simplePos="0" relativeHeight="251652096" behindDoc="0" locked="1" layoutInCell="1" allowOverlap="1" wp14:anchorId="2A185EB4" wp14:editId="1A48F030">
              <wp:simplePos x="0" y="0"/>
              <wp:positionH relativeFrom="column">
                <wp:posOffset>561975</wp:posOffset>
              </wp:positionH>
              <wp:positionV relativeFrom="paragraph">
                <wp:posOffset>16510</wp:posOffset>
              </wp:positionV>
              <wp:extent cx="4810125" cy="543560"/>
              <wp:effectExtent l="0" t="0" r="0" b="0"/>
              <wp:wrapNone/>
              <wp:docPr id="6" name="Casella di testo 6"/>
              <wp:cNvGraphicFramePr/>
              <a:graphic xmlns:a="http://schemas.openxmlformats.org/drawingml/2006/main">
                <a:graphicData uri="http://schemas.microsoft.com/office/word/2010/wordprocessingShape">
                  <wps:wsp>
                    <wps:cNvSpPr txBox="1"/>
                    <wps:spPr>
                      <a:xfrm>
                        <a:off x="0" y="0"/>
                        <a:ext cx="4810125" cy="543560"/>
                      </a:xfrm>
                      <a:prstGeom prst="rect">
                        <a:avLst/>
                      </a:prstGeom>
                      <a:noFill/>
                      <a:ln w="6350">
                        <a:noFill/>
                      </a:ln>
                    </wps:spPr>
                    <wps:txbx>
                      <w:txbxContent>
                        <w:p w14:paraId="0E084260" w14:textId="6847A6E7" w:rsidR="001F0405" w:rsidRPr="005B753E" w:rsidRDefault="00640192" w:rsidP="000E2C9D">
                          <w:pPr>
                            <w:ind w:left="0"/>
                            <w:jc w:val="center"/>
                            <w:rPr>
                              <w:rFonts w:ascii="Rockwell" w:hAnsi="Rockwell" w:cs="Aharoni"/>
                              <w:color w:val="1F497D"/>
                              <w:sz w:val="32"/>
                              <w:szCs w:val="32"/>
                            </w:rPr>
                          </w:pPr>
                          <w:r>
                            <w:rPr>
                              <w:rFonts w:ascii="Rockwell" w:hAnsi="Rockwell" w:cs="Aharoni"/>
                              <w:color w:val="1F497D"/>
                              <w:sz w:val="32"/>
                              <w:szCs w:val="32"/>
                            </w:rPr>
                            <w:t>Circolare</w:t>
                          </w:r>
                          <w:r w:rsidR="001F0405" w:rsidRPr="005B753E">
                            <w:rPr>
                              <w:rFonts w:ascii="Rockwell" w:hAnsi="Rockwell" w:cs="Aharoni"/>
                              <w:color w:val="1F497D"/>
                              <w:sz w:val="32"/>
                              <w:szCs w:val="32"/>
                            </w:rPr>
                            <w:t xml:space="preserve"> n. </w:t>
                          </w:r>
                          <w:r>
                            <w:rPr>
                              <w:rFonts w:ascii="Rockwell" w:hAnsi="Rockwell" w:cs="Aharoni"/>
                              <w:color w:val="1F497D"/>
                              <w:sz w:val="32"/>
                              <w:szCs w:val="32"/>
                            </w:rPr>
                            <w:t>9</w:t>
                          </w:r>
                          <w:r w:rsidR="00FA11BF" w:rsidRPr="005B753E">
                            <w:rPr>
                              <w:rFonts w:ascii="Rockwell" w:hAnsi="Rockwell" w:cs="Aharoni"/>
                              <w:color w:val="1F497D"/>
                              <w:sz w:val="32"/>
                              <w:szCs w:val="32"/>
                            </w:rPr>
                            <w:t>/</w:t>
                          </w:r>
                          <w:r w:rsidR="00742651" w:rsidRPr="005B753E">
                            <w:rPr>
                              <w:rFonts w:ascii="Rockwell" w:hAnsi="Rockwell" w:cs="Aharoni"/>
                              <w:color w:val="1F497D"/>
                              <w:sz w:val="32"/>
                              <w:szCs w:val="32"/>
                            </w:rPr>
                            <w:t>2025</w:t>
                          </w:r>
                          <w:r w:rsidR="001F0405" w:rsidRPr="005B753E">
                            <w:rPr>
                              <w:rFonts w:ascii="Rockwell" w:hAnsi="Rockwell" w:cs="Aharoni"/>
                              <w:color w:val="1F497D"/>
                              <w:sz w:val="32"/>
                              <w:szCs w:val="32"/>
                            </w:rPr>
                            <w:t xml:space="preserve"> </w:t>
                          </w:r>
                          <w:r w:rsidR="00FA11BF" w:rsidRPr="005B753E">
                            <w:rPr>
                              <w:rFonts w:ascii="Rockwell" w:hAnsi="Rockwell" w:cs="Aharoni"/>
                              <w:color w:val="1F497D"/>
                              <w:sz w:val="32"/>
                              <w:szCs w:val="32"/>
                            </w:rPr>
                            <w:t xml:space="preserve">del </w:t>
                          </w:r>
                          <w:r w:rsidR="00742651" w:rsidRPr="005B753E">
                            <w:rPr>
                              <w:rFonts w:ascii="Rockwell" w:hAnsi="Rockwell" w:cs="Aharoni"/>
                              <w:color w:val="1F497D"/>
                              <w:sz w:val="32"/>
                              <w:szCs w:val="32"/>
                            </w:rPr>
                            <w:t>0</w:t>
                          </w:r>
                          <w:r>
                            <w:rPr>
                              <w:rFonts w:ascii="Rockwell" w:hAnsi="Rockwell" w:cs="Aharoni"/>
                              <w:color w:val="1F497D"/>
                              <w:sz w:val="32"/>
                              <w:szCs w:val="32"/>
                            </w:rPr>
                            <w:t>4</w:t>
                          </w:r>
                          <w:r w:rsidR="001F0405" w:rsidRPr="005B753E">
                            <w:rPr>
                              <w:rFonts w:ascii="Rockwell" w:hAnsi="Rockwell" w:cs="Aharoni"/>
                              <w:color w:val="1F497D"/>
                              <w:sz w:val="32"/>
                              <w:szCs w:val="32"/>
                            </w:rPr>
                            <w:t xml:space="preserve"> </w:t>
                          </w:r>
                          <w:r w:rsidR="00742651" w:rsidRPr="005B753E">
                            <w:rPr>
                              <w:rFonts w:ascii="Rockwell" w:hAnsi="Rockwell" w:cs="Aharoni"/>
                              <w:color w:val="1F497D"/>
                              <w:sz w:val="32"/>
                              <w:szCs w:val="32"/>
                            </w:rPr>
                            <w:t>novembre</w:t>
                          </w:r>
                          <w:r w:rsidR="001F0405" w:rsidRPr="005B753E">
                            <w:rPr>
                              <w:rFonts w:ascii="Rockwell" w:hAnsi="Rockwell" w:cs="Aharoni"/>
                              <w:color w:val="1F497D"/>
                              <w:sz w:val="32"/>
                              <w:szCs w:val="32"/>
                            </w:rPr>
                            <w:t xml:space="preserve"> 202</w:t>
                          </w:r>
                          <w:r w:rsidR="00742651" w:rsidRPr="005B753E">
                            <w:rPr>
                              <w:rFonts w:ascii="Rockwell" w:hAnsi="Rockwell" w:cs="Aharoni"/>
                              <w:color w:val="1F497D"/>
                              <w:sz w:val="32"/>
                              <w:szCs w:val="32"/>
                            </w:rPr>
                            <w:t>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185EB4" id="_x0000_t202" coordsize="21600,21600" o:spt="202" path="m,l,21600r21600,l21600,xe">
              <v:stroke joinstyle="miter"/>
              <v:path gradientshapeok="t" o:connecttype="rect"/>
            </v:shapetype>
            <v:shape id="Casella di testo 6" o:spid="_x0000_s1026" type="#_x0000_t202" style="position:absolute;left:0;text-align:left;margin-left:44.25pt;margin-top:1.3pt;width:378.75pt;height:42.8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" filled="f" stroked="f" strokeweight=".5pt">
              <v:textbox>
                <w:txbxContent>
                  <w:p w14:paraId="0E084260" w14:textId="6847A6E7" w:rsidR="001F0405" w:rsidRPr="005B753E" w:rsidRDefault="00640192" w:rsidP="000E2C9D">
                    <w:pPr>
                      <w:ind w:left="0"/>
                      <w:jc w:val="center"/>
                      <w:rPr>
                        <w:rFonts w:ascii="Rockwell" w:hAnsi="Rockwell" w:cs="Aharoni"/>
                        <w:color w:val="1F497D"/>
                        <w:sz w:val="32"/>
                        <w:szCs w:val="32"/>
                      </w:rPr>
                    </w:pPr>
                    <w:r>
                      <w:rPr>
                        <w:rFonts w:ascii="Rockwell" w:hAnsi="Rockwell" w:cs="Aharoni"/>
                        <w:color w:val="1F497D"/>
                        <w:sz w:val="32"/>
                        <w:szCs w:val="32"/>
                      </w:rPr>
                      <w:t>Circolare</w:t>
                    </w:r>
                    <w:r w:rsidR="001F0405" w:rsidRPr="005B753E">
                      <w:rPr>
                        <w:rFonts w:ascii="Rockwell" w:hAnsi="Rockwell" w:cs="Aharoni"/>
                        <w:color w:val="1F497D"/>
                        <w:sz w:val="32"/>
                        <w:szCs w:val="32"/>
                      </w:rPr>
                      <w:t xml:space="preserve"> n. </w:t>
                    </w:r>
                    <w:r>
                      <w:rPr>
                        <w:rFonts w:ascii="Rockwell" w:hAnsi="Rockwell" w:cs="Aharoni"/>
                        <w:color w:val="1F497D"/>
                        <w:sz w:val="32"/>
                        <w:szCs w:val="32"/>
                      </w:rPr>
                      <w:t>9</w:t>
                    </w:r>
                    <w:r w:rsidR="00FA11BF" w:rsidRPr="005B753E">
                      <w:rPr>
                        <w:rFonts w:ascii="Rockwell" w:hAnsi="Rockwell" w:cs="Aharoni"/>
                        <w:color w:val="1F497D"/>
                        <w:sz w:val="32"/>
                        <w:szCs w:val="32"/>
                      </w:rPr>
                      <w:t>/</w:t>
                    </w:r>
                    <w:r w:rsidR="00742651" w:rsidRPr="005B753E">
                      <w:rPr>
                        <w:rFonts w:ascii="Rockwell" w:hAnsi="Rockwell" w:cs="Aharoni"/>
                        <w:color w:val="1F497D"/>
                        <w:sz w:val="32"/>
                        <w:szCs w:val="32"/>
                      </w:rPr>
                      <w:t>2025</w:t>
                    </w:r>
                    <w:r w:rsidR="001F0405" w:rsidRPr="005B753E">
                      <w:rPr>
                        <w:rFonts w:ascii="Rockwell" w:hAnsi="Rockwell" w:cs="Aharoni"/>
                        <w:color w:val="1F497D"/>
                        <w:sz w:val="32"/>
                        <w:szCs w:val="32"/>
                      </w:rPr>
                      <w:t xml:space="preserve"> </w:t>
                    </w:r>
                    <w:r w:rsidR="00FA11BF" w:rsidRPr="005B753E">
                      <w:rPr>
                        <w:rFonts w:ascii="Rockwell" w:hAnsi="Rockwell" w:cs="Aharoni"/>
                        <w:color w:val="1F497D"/>
                        <w:sz w:val="32"/>
                        <w:szCs w:val="32"/>
                      </w:rPr>
                      <w:t xml:space="preserve">del </w:t>
                    </w:r>
                    <w:r w:rsidR="00742651" w:rsidRPr="005B753E">
                      <w:rPr>
                        <w:rFonts w:ascii="Rockwell" w:hAnsi="Rockwell" w:cs="Aharoni"/>
                        <w:color w:val="1F497D"/>
                        <w:sz w:val="32"/>
                        <w:szCs w:val="32"/>
                      </w:rPr>
                      <w:t>0</w:t>
                    </w:r>
                    <w:r>
                      <w:rPr>
                        <w:rFonts w:ascii="Rockwell" w:hAnsi="Rockwell" w:cs="Aharoni"/>
                        <w:color w:val="1F497D"/>
                        <w:sz w:val="32"/>
                        <w:szCs w:val="32"/>
                      </w:rPr>
                      <w:t>4</w:t>
                    </w:r>
                    <w:r w:rsidR="001F0405" w:rsidRPr="005B753E">
                      <w:rPr>
                        <w:rFonts w:ascii="Rockwell" w:hAnsi="Rockwell" w:cs="Aharoni"/>
                        <w:color w:val="1F497D"/>
                        <w:sz w:val="32"/>
                        <w:szCs w:val="32"/>
                      </w:rPr>
                      <w:t xml:space="preserve"> </w:t>
                    </w:r>
                    <w:r w:rsidR="00742651" w:rsidRPr="005B753E">
                      <w:rPr>
                        <w:rFonts w:ascii="Rockwell" w:hAnsi="Rockwell" w:cs="Aharoni"/>
                        <w:color w:val="1F497D"/>
                        <w:sz w:val="32"/>
                        <w:szCs w:val="32"/>
                      </w:rPr>
                      <w:t>novembre</w:t>
                    </w:r>
                    <w:r w:rsidR="001F0405" w:rsidRPr="005B753E">
                      <w:rPr>
                        <w:rFonts w:ascii="Rockwell" w:hAnsi="Rockwell" w:cs="Aharoni"/>
                        <w:color w:val="1F497D"/>
                        <w:sz w:val="32"/>
                        <w:szCs w:val="32"/>
                      </w:rPr>
                      <w:t xml:space="preserve"> 202</w:t>
                    </w:r>
                    <w:r w:rsidR="00742651" w:rsidRPr="005B753E">
                      <w:rPr>
                        <w:rFonts w:ascii="Rockwell" w:hAnsi="Rockwell" w:cs="Aharoni"/>
                        <w:color w:val="1F497D"/>
                        <w:sz w:val="32"/>
                        <w:szCs w:val="32"/>
                      </w:rPr>
                      <w:t>5</w:t>
                    </w:r>
                  </w:p>
                </w:txbxContent>
              </v:textbox>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26AC9"/>
    <w:multiLevelType w:val="hybridMultilevel"/>
    <w:tmpl w:val="BE6CB398"/>
    <w:lvl w:ilvl="0" w:tplc="04100001">
      <w:start w:val="1"/>
      <w:numFmt w:val="bullet"/>
      <w:lvlText w:val=""/>
      <w:lvlJc w:val="left"/>
      <w:pPr>
        <w:ind w:left="1080" w:hanging="360"/>
      </w:pPr>
      <w:rPr>
        <w:rFonts w:ascii="Symbol" w:hAnsi="Symbol"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 w15:restartNumberingAfterBreak="0">
    <w:nsid w:val="01287C22"/>
    <w:multiLevelType w:val="hybridMultilevel"/>
    <w:tmpl w:val="5B820542"/>
    <w:lvl w:ilvl="0" w:tplc="2398DEDE">
      <w:start w:val="1"/>
      <w:numFmt w:val="lowerLetter"/>
      <w:pStyle w:val="puntielencoletterea"/>
      <w:lvlText w:val="%1)"/>
      <w:lvlJc w:val="left"/>
      <w:pPr>
        <w:ind w:left="720" w:hanging="360"/>
      </w:pPr>
      <w:rPr>
        <w:rFonts w:ascii="PT Sans" w:hAnsi="PT Sans" w:hint="default"/>
        <w:sz w:val="20"/>
        <w:szCs w:val="2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035D25F8"/>
    <w:multiLevelType w:val="multilevel"/>
    <w:tmpl w:val="930EF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50153E"/>
    <w:multiLevelType w:val="hybridMultilevel"/>
    <w:tmpl w:val="B846CF46"/>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91E7301"/>
    <w:multiLevelType w:val="hybridMultilevel"/>
    <w:tmpl w:val="A6FEEB6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0A6A24D3"/>
    <w:multiLevelType w:val="hybridMultilevel"/>
    <w:tmpl w:val="07F8103C"/>
    <w:lvl w:ilvl="0" w:tplc="A2229F7C">
      <w:start w:val="1"/>
      <w:numFmt w:val="decimal"/>
      <w:pStyle w:val="puntielenconumeri"/>
      <w:lvlText w:val="%1."/>
      <w:lvlJc w:val="left"/>
      <w:pPr>
        <w:ind w:left="360" w:hanging="360"/>
      </w:pPr>
      <w:rPr>
        <w:rFonts w:ascii="PT Sans" w:hAnsi="PT Sans"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0B950292"/>
    <w:multiLevelType w:val="hybridMultilevel"/>
    <w:tmpl w:val="DC7E88FA"/>
    <w:lvl w:ilvl="0" w:tplc="BC36FA2C">
      <w:start w:val="1"/>
      <w:numFmt w:val="bullet"/>
      <w:lvlText w:val=""/>
      <w:lvlJc w:val="left"/>
      <w:pPr>
        <w:tabs>
          <w:tab w:val="num" w:pos="227"/>
        </w:tabs>
        <w:ind w:left="227" w:hanging="227"/>
      </w:pPr>
      <w:rPr>
        <w:rFonts w:ascii="Symbol" w:hAnsi="Symbol" w:hint="default"/>
        <w:color w:val="006FB5"/>
        <w:sz w:val="20"/>
        <w:szCs w:val="20"/>
      </w:rPr>
    </w:lvl>
    <w:lvl w:ilvl="1" w:tplc="5BC29026">
      <w:start w:val="1"/>
      <w:numFmt w:val="bullet"/>
      <w:pStyle w:val="sottopuntielenco-"/>
      <w:lvlText w:val="-"/>
      <w:lvlJc w:val="left"/>
      <w:pPr>
        <w:tabs>
          <w:tab w:val="num" w:pos="454"/>
        </w:tabs>
        <w:ind w:left="454" w:hanging="227"/>
      </w:pPr>
      <w:rPr>
        <w:rFonts w:ascii="Times New Roman" w:hAnsi="Times New Roman" w:cs="Times New Roman" w:hint="default"/>
        <w:color w:val="auto"/>
        <w:sz w:val="20"/>
        <w:szCs w:val="20"/>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920490"/>
    <w:multiLevelType w:val="hybridMultilevel"/>
    <w:tmpl w:val="5E0A04BE"/>
    <w:lvl w:ilvl="0" w:tplc="DF3240C8">
      <w:start w:val="1"/>
      <w:numFmt w:val="bullet"/>
      <w:pStyle w:val="testotabellapallino"/>
      <w:lvlText w:val="-"/>
      <w:lvlJc w:val="left"/>
      <w:pPr>
        <w:ind w:left="720" w:hanging="360"/>
      </w:pPr>
      <w:rPr>
        <w:rFonts w:ascii="PT Sans" w:hAnsi="PT San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3D50AE7"/>
    <w:multiLevelType w:val="multilevel"/>
    <w:tmpl w:val="E25EEADC"/>
    <w:lvl w:ilvl="0">
      <w:start w:val="1"/>
      <w:numFmt w:val="decimal"/>
      <w:lvlText w:val="%1."/>
      <w:lvlJc w:val="left"/>
      <w:pPr>
        <w:tabs>
          <w:tab w:val="num" w:pos="1777"/>
        </w:tabs>
        <w:ind w:left="1777" w:hanging="360"/>
      </w:pPr>
    </w:lvl>
    <w:lvl w:ilvl="1" w:tentative="1">
      <w:start w:val="1"/>
      <w:numFmt w:val="decimal"/>
      <w:lvlText w:val="%2."/>
      <w:lvlJc w:val="left"/>
      <w:pPr>
        <w:tabs>
          <w:tab w:val="num" w:pos="2497"/>
        </w:tabs>
        <w:ind w:left="2497" w:hanging="360"/>
      </w:pPr>
    </w:lvl>
    <w:lvl w:ilvl="2" w:tentative="1">
      <w:start w:val="1"/>
      <w:numFmt w:val="decimal"/>
      <w:lvlText w:val="%3."/>
      <w:lvlJc w:val="left"/>
      <w:pPr>
        <w:tabs>
          <w:tab w:val="num" w:pos="3217"/>
        </w:tabs>
        <w:ind w:left="3217" w:hanging="360"/>
      </w:pPr>
    </w:lvl>
    <w:lvl w:ilvl="3" w:tentative="1">
      <w:start w:val="1"/>
      <w:numFmt w:val="decimal"/>
      <w:lvlText w:val="%4."/>
      <w:lvlJc w:val="left"/>
      <w:pPr>
        <w:tabs>
          <w:tab w:val="num" w:pos="3937"/>
        </w:tabs>
        <w:ind w:left="3937" w:hanging="360"/>
      </w:pPr>
    </w:lvl>
    <w:lvl w:ilvl="4" w:tentative="1">
      <w:start w:val="1"/>
      <w:numFmt w:val="decimal"/>
      <w:lvlText w:val="%5."/>
      <w:lvlJc w:val="left"/>
      <w:pPr>
        <w:tabs>
          <w:tab w:val="num" w:pos="4657"/>
        </w:tabs>
        <w:ind w:left="4657" w:hanging="360"/>
      </w:pPr>
    </w:lvl>
    <w:lvl w:ilvl="5" w:tentative="1">
      <w:start w:val="1"/>
      <w:numFmt w:val="decimal"/>
      <w:lvlText w:val="%6."/>
      <w:lvlJc w:val="left"/>
      <w:pPr>
        <w:tabs>
          <w:tab w:val="num" w:pos="5377"/>
        </w:tabs>
        <w:ind w:left="5377" w:hanging="360"/>
      </w:pPr>
    </w:lvl>
    <w:lvl w:ilvl="6" w:tentative="1">
      <w:start w:val="1"/>
      <w:numFmt w:val="decimal"/>
      <w:lvlText w:val="%7."/>
      <w:lvlJc w:val="left"/>
      <w:pPr>
        <w:tabs>
          <w:tab w:val="num" w:pos="6097"/>
        </w:tabs>
        <w:ind w:left="6097" w:hanging="360"/>
      </w:pPr>
    </w:lvl>
    <w:lvl w:ilvl="7" w:tentative="1">
      <w:start w:val="1"/>
      <w:numFmt w:val="decimal"/>
      <w:lvlText w:val="%8."/>
      <w:lvlJc w:val="left"/>
      <w:pPr>
        <w:tabs>
          <w:tab w:val="num" w:pos="6817"/>
        </w:tabs>
        <w:ind w:left="6817" w:hanging="360"/>
      </w:pPr>
    </w:lvl>
    <w:lvl w:ilvl="8" w:tentative="1">
      <w:start w:val="1"/>
      <w:numFmt w:val="decimal"/>
      <w:lvlText w:val="%9."/>
      <w:lvlJc w:val="left"/>
      <w:pPr>
        <w:tabs>
          <w:tab w:val="num" w:pos="7537"/>
        </w:tabs>
        <w:ind w:left="7537" w:hanging="360"/>
      </w:pPr>
    </w:lvl>
  </w:abstractNum>
  <w:abstractNum w:abstractNumId="9" w15:restartNumberingAfterBreak="0">
    <w:nsid w:val="18F522B7"/>
    <w:multiLevelType w:val="hybridMultilevel"/>
    <w:tmpl w:val="4218E98C"/>
    <w:lvl w:ilvl="0" w:tplc="D5A47170">
      <w:start w:val="1"/>
      <w:numFmt w:val="bullet"/>
      <w:pStyle w:val="sottoparagrafo"/>
      <w:suff w:val="space"/>
      <w:lvlText w:val=""/>
      <w:lvlJc w:val="left"/>
      <w:pPr>
        <w:ind w:left="0" w:firstLine="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7ED67F7"/>
    <w:multiLevelType w:val="hybridMultilevel"/>
    <w:tmpl w:val="BA3E6AB4"/>
    <w:lvl w:ilvl="0" w:tplc="3594C1FE">
      <w:numFmt w:val="bullet"/>
      <w:lvlText w:val="-"/>
      <w:lvlJc w:val="left"/>
      <w:pPr>
        <w:ind w:left="720" w:hanging="360"/>
      </w:pPr>
      <w:rPr>
        <w:rFonts w:ascii="Open Sans" w:eastAsia="Times New Roman" w:hAnsi="Open Sans" w:cs="Open San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ACB781A"/>
    <w:multiLevelType w:val="hybridMultilevel"/>
    <w:tmpl w:val="B332385A"/>
    <w:lvl w:ilvl="0" w:tplc="B602EBF0">
      <w:start w:val="1"/>
      <w:numFmt w:val="bullet"/>
      <w:pStyle w:val="puntoelencotabellapallino"/>
      <w:lvlText w:val=""/>
      <w:lvlJc w:val="left"/>
      <w:pPr>
        <w:tabs>
          <w:tab w:val="num" w:pos="454"/>
        </w:tabs>
        <w:ind w:left="454" w:hanging="227"/>
      </w:pPr>
      <w:rPr>
        <w:rFonts w:ascii="Symbol" w:hAnsi="Symbol" w:hint="default"/>
        <w:b w:val="0"/>
        <w:i w:val="0"/>
        <w:color w:val="006FB5"/>
        <w:sz w:val="22"/>
        <w:szCs w:val="22"/>
      </w:rPr>
    </w:lvl>
    <w:lvl w:ilvl="1" w:tplc="81BC676A">
      <w:start w:val="1"/>
      <w:numFmt w:val="bullet"/>
      <w:lvlText w:val=""/>
      <w:lvlJc w:val="left"/>
      <w:pPr>
        <w:tabs>
          <w:tab w:val="num" w:pos="227"/>
        </w:tabs>
        <w:ind w:left="227" w:hanging="227"/>
      </w:pPr>
      <w:rPr>
        <w:rFonts w:ascii="Symbol" w:hAnsi="Symbol" w:hint="default"/>
        <w:b w:val="0"/>
        <w:i w:val="0"/>
        <w:color w:val="006FB5"/>
        <w:sz w:val="18"/>
        <w:szCs w:val="18"/>
      </w:rPr>
    </w:lvl>
    <w:lvl w:ilvl="2" w:tplc="99C250F4">
      <w:numFmt w:val="bullet"/>
      <w:lvlText w:val="-"/>
      <w:lvlJc w:val="left"/>
      <w:pPr>
        <w:tabs>
          <w:tab w:val="num" w:pos="2340"/>
        </w:tabs>
        <w:ind w:left="2340" w:hanging="360"/>
      </w:pPr>
      <w:rPr>
        <w:rFonts w:ascii="Arial" w:eastAsia="ヒラギノ角ゴ Pro W3" w:hAnsi="Arial" w:cs="Arial"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DB70485"/>
    <w:multiLevelType w:val="hybridMultilevel"/>
    <w:tmpl w:val="5EA4411C"/>
    <w:lvl w:ilvl="0" w:tplc="3A1EE3C2">
      <w:start w:val="1"/>
      <w:numFmt w:val="bullet"/>
      <w:pStyle w:val="testopuntoelenco"/>
      <w:lvlText w:val=""/>
      <w:lvlJc w:val="left"/>
      <w:pPr>
        <w:tabs>
          <w:tab w:val="num" w:pos="227"/>
        </w:tabs>
        <w:ind w:left="227" w:hanging="227"/>
      </w:pPr>
      <w:rPr>
        <w:rFonts w:ascii="Symbol" w:hAnsi="Symbol" w:hint="default"/>
        <w:strike w:val="0"/>
        <w:color w:val="auto"/>
        <w:sz w:val="20"/>
        <w:szCs w:val="20"/>
      </w:rPr>
    </w:lvl>
    <w:lvl w:ilvl="1" w:tplc="1442A836">
      <w:start w:val="2"/>
      <w:numFmt w:val="bullet"/>
      <w:lvlText w:val="-"/>
      <w:lvlJc w:val="left"/>
      <w:pPr>
        <w:tabs>
          <w:tab w:val="num" w:pos="1440"/>
        </w:tabs>
        <w:ind w:left="1440" w:hanging="360"/>
      </w:pPr>
      <w:rPr>
        <w:rFonts w:ascii="Arial" w:eastAsia="Times New Roman" w:hAnsi="Arial" w:cs="Aria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0AD19BE"/>
    <w:multiLevelType w:val="hybridMultilevel"/>
    <w:tmpl w:val="A6CEDA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2C072C0"/>
    <w:multiLevelType w:val="hybridMultilevel"/>
    <w:tmpl w:val="8024562C"/>
    <w:lvl w:ilvl="0" w:tplc="04100001">
      <w:start w:val="1"/>
      <w:numFmt w:val="bullet"/>
      <w:lvlText w:val=""/>
      <w:lvlJc w:val="left"/>
      <w:pPr>
        <w:ind w:left="1996" w:hanging="360"/>
      </w:pPr>
      <w:rPr>
        <w:rFonts w:ascii="Symbol" w:hAnsi="Symbol" w:hint="default"/>
      </w:rPr>
    </w:lvl>
    <w:lvl w:ilvl="1" w:tplc="04100003" w:tentative="1">
      <w:start w:val="1"/>
      <w:numFmt w:val="bullet"/>
      <w:lvlText w:val="o"/>
      <w:lvlJc w:val="left"/>
      <w:pPr>
        <w:ind w:left="2716" w:hanging="360"/>
      </w:pPr>
      <w:rPr>
        <w:rFonts w:ascii="Courier New" w:hAnsi="Courier New" w:cs="Courier New" w:hint="default"/>
      </w:rPr>
    </w:lvl>
    <w:lvl w:ilvl="2" w:tplc="04100005" w:tentative="1">
      <w:start w:val="1"/>
      <w:numFmt w:val="bullet"/>
      <w:lvlText w:val=""/>
      <w:lvlJc w:val="left"/>
      <w:pPr>
        <w:ind w:left="3436" w:hanging="360"/>
      </w:pPr>
      <w:rPr>
        <w:rFonts w:ascii="Wingdings" w:hAnsi="Wingdings" w:hint="default"/>
      </w:rPr>
    </w:lvl>
    <w:lvl w:ilvl="3" w:tplc="04100001" w:tentative="1">
      <w:start w:val="1"/>
      <w:numFmt w:val="bullet"/>
      <w:lvlText w:val=""/>
      <w:lvlJc w:val="left"/>
      <w:pPr>
        <w:ind w:left="4156" w:hanging="360"/>
      </w:pPr>
      <w:rPr>
        <w:rFonts w:ascii="Symbol" w:hAnsi="Symbol" w:hint="default"/>
      </w:rPr>
    </w:lvl>
    <w:lvl w:ilvl="4" w:tplc="04100003" w:tentative="1">
      <w:start w:val="1"/>
      <w:numFmt w:val="bullet"/>
      <w:lvlText w:val="o"/>
      <w:lvlJc w:val="left"/>
      <w:pPr>
        <w:ind w:left="4876" w:hanging="360"/>
      </w:pPr>
      <w:rPr>
        <w:rFonts w:ascii="Courier New" w:hAnsi="Courier New" w:cs="Courier New" w:hint="default"/>
      </w:rPr>
    </w:lvl>
    <w:lvl w:ilvl="5" w:tplc="04100005" w:tentative="1">
      <w:start w:val="1"/>
      <w:numFmt w:val="bullet"/>
      <w:lvlText w:val=""/>
      <w:lvlJc w:val="left"/>
      <w:pPr>
        <w:ind w:left="5596" w:hanging="360"/>
      </w:pPr>
      <w:rPr>
        <w:rFonts w:ascii="Wingdings" w:hAnsi="Wingdings" w:hint="default"/>
      </w:rPr>
    </w:lvl>
    <w:lvl w:ilvl="6" w:tplc="04100001" w:tentative="1">
      <w:start w:val="1"/>
      <w:numFmt w:val="bullet"/>
      <w:lvlText w:val=""/>
      <w:lvlJc w:val="left"/>
      <w:pPr>
        <w:ind w:left="6316" w:hanging="360"/>
      </w:pPr>
      <w:rPr>
        <w:rFonts w:ascii="Symbol" w:hAnsi="Symbol" w:hint="default"/>
      </w:rPr>
    </w:lvl>
    <w:lvl w:ilvl="7" w:tplc="04100003" w:tentative="1">
      <w:start w:val="1"/>
      <w:numFmt w:val="bullet"/>
      <w:lvlText w:val="o"/>
      <w:lvlJc w:val="left"/>
      <w:pPr>
        <w:ind w:left="7036" w:hanging="360"/>
      </w:pPr>
      <w:rPr>
        <w:rFonts w:ascii="Courier New" w:hAnsi="Courier New" w:cs="Courier New" w:hint="default"/>
      </w:rPr>
    </w:lvl>
    <w:lvl w:ilvl="8" w:tplc="04100005" w:tentative="1">
      <w:start w:val="1"/>
      <w:numFmt w:val="bullet"/>
      <w:lvlText w:val=""/>
      <w:lvlJc w:val="left"/>
      <w:pPr>
        <w:ind w:left="7756" w:hanging="360"/>
      </w:pPr>
      <w:rPr>
        <w:rFonts w:ascii="Wingdings" w:hAnsi="Wingdings" w:hint="default"/>
      </w:rPr>
    </w:lvl>
  </w:abstractNum>
  <w:abstractNum w:abstractNumId="15" w15:restartNumberingAfterBreak="0">
    <w:nsid w:val="471B200C"/>
    <w:multiLevelType w:val="hybridMultilevel"/>
    <w:tmpl w:val="4F282A86"/>
    <w:lvl w:ilvl="0" w:tplc="99C250F4">
      <w:numFmt w:val="bullet"/>
      <w:pStyle w:val="puntielencotabella"/>
      <w:lvlText w:val="-"/>
      <w:lvlJc w:val="left"/>
      <w:pPr>
        <w:tabs>
          <w:tab w:val="num" w:pos="454"/>
        </w:tabs>
        <w:ind w:left="454" w:hanging="227"/>
      </w:pPr>
      <w:rPr>
        <w:rFonts w:ascii="Arial" w:eastAsia="ヒラギノ角ゴ Pro W3" w:hAnsi="Arial" w:cs="Arial" w:hint="default"/>
        <w:b w:val="0"/>
        <w:i w:val="0"/>
        <w:color w:val="006FB5"/>
        <w:sz w:val="22"/>
        <w:szCs w:val="22"/>
      </w:rPr>
    </w:lvl>
    <w:lvl w:ilvl="1" w:tplc="81BC676A">
      <w:start w:val="1"/>
      <w:numFmt w:val="bullet"/>
      <w:lvlText w:val=""/>
      <w:lvlJc w:val="left"/>
      <w:pPr>
        <w:tabs>
          <w:tab w:val="num" w:pos="227"/>
        </w:tabs>
        <w:ind w:left="227" w:hanging="227"/>
      </w:pPr>
      <w:rPr>
        <w:rFonts w:ascii="Symbol" w:hAnsi="Symbol" w:hint="default"/>
        <w:b w:val="0"/>
        <w:i w:val="0"/>
        <w:color w:val="006FB5"/>
        <w:sz w:val="18"/>
        <w:szCs w:val="18"/>
      </w:rPr>
    </w:lvl>
    <w:lvl w:ilvl="2" w:tplc="99C250F4">
      <w:numFmt w:val="bullet"/>
      <w:lvlText w:val="-"/>
      <w:lvlJc w:val="left"/>
      <w:pPr>
        <w:tabs>
          <w:tab w:val="num" w:pos="2340"/>
        </w:tabs>
        <w:ind w:left="2340" w:hanging="360"/>
      </w:pPr>
      <w:rPr>
        <w:rFonts w:ascii="Arial" w:eastAsia="ヒラギノ角ゴ Pro W3" w:hAnsi="Arial" w:cs="Arial"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5A121FAA"/>
    <w:multiLevelType w:val="hybridMultilevel"/>
    <w:tmpl w:val="8E502DAC"/>
    <w:lvl w:ilvl="0" w:tplc="0410000B">
      <w:start w:val="1"/>
      <w:numFmt w:val="bullet"/>
      <w:lvlText w:val=""/>
      <w:lvlJc w:val="left"/>
      <w:pPr>
        <w:ind w:left="1797" w:hanging="360"/>
      </w:pPr>
      <w:rPr>
        <w:rFonts w:ascii="Wingdings" w:hAnsi="Wingdings" w:hint="default"/>
      </w:rPr>
    </w:lvl>
    <w:lvl w:ilvl="1" w:tplc="04100003" w:tentative="1">
      <w:start w:val="1"/>
      <w:numFmt w:val="bullet"/>
      <w:lvlText w:val="o"/>
      <w:lvlJc w:val="left"/>
      <w:pPr>
        <w:ind w:left="2517" w:hanging="360"/>
      </w:pPr>
      <w:rPr>
        <w:rFonts w:ascii="Courier New" w:hAnsi="Courier New" w:cs="Courier New" w:hint="default"/>
      </w:rPr>
    </w:lvl>
    <w:lvl w:ilvl="2" w:tplc="04100005" w:tentative="1">
      <w:start w:val="1"/>
      <w:numFmt w:val="bullet"/>
      <w:lvlText w:val=""/>
      <w:lvlJc w:val="left"/>
      <w:pPr>
        <w:ind w:left="3237" w:hanging="360"/>
      </w:pPr>
      <w:rPr>
        <w:rFonts w:ascii="Wingdings" w:hAnsi="Wingdings" w:hint="default"/>
      </w:rPr>
    </w:lvl>
    <w:lvl w:ilvl="3" w:tplc="04100001" w:tentative="1">
      <w:start w:val="1"/>
      <w:numFmt w:val="bullet"/>
      <w:lvlText w:val=""/>
      <w:lvlJc w:val="left"/>
      <w:pPr>
        <w:ind w:left="3957" w:hanging="360"/>
      </w:pPr>
      <w:rPr>
        <w:rFonts w:ascii="Symbol" w:hAnsi="Symbol" w:hint="default"/>
      </w:rPr>
    </w:lvl>
    <w:lvl w:ilvl="4" w:tplc="04100003" w:tentative="1">
      <w:start w:val="1"/>
      <w:numFmt w:val="bullet"/>
      <w:lvlText w:val="o"/>
      <w:lvlJc w:val="left"/>
      <w:pPr>
        <w:ind w:left="4677" w:hanging="360"/>
      </w:pPr>
      <w:rPr>
        <w:rFonts w:ascii="Courier New" w:hAnsi="Courier New" w:cs="Courier New" w:hint="default"/>
      </w:rPr>
    </w:lvl>
    <w:lvl w:ilvl="5" w:tplc="04100005" w:tentative="1">
      <w:start w:val="1"/>
      <w:numFmt w:val="bullet"/>
      <w:lvlText w:val=""/>
      <w:lvlJc w:val="left"/>
      <w:pPr>
        <w:ind w:left="5397" w:hanging="360"/>
      </w:pPr>
      <w:rPr>
        <w:rFonts w:ascii="Wingdings" w:hAnsi="Wingdings" w:hint="default"/>
      </w:rPr>
    </w:lvl>
    <w:lvl w:ilvl="6" w:tplc="04100001" w:tentative="1">
      <w:start w:val="1"/>
      <w:numFmt w:val="bullet"/>
      <w:lvlText w:val=""/>
      <w:lvlJc w:val="left"/>
      <w:pPr>
        <w:ind w:left="6117" w:hanging="360"/>
      </w:pPr>
      <w:rPr>
        <w:rFonts w:ascii="Symbol" w:hAnsi="Symbol" w:hint="default"/>
      </w:rPr>
    </w:lvl>
    <w:lvl w:ilvl="7" w:tplc="04100003" w:tentative="1">
      <w:start w:val="1"/>
      <w:numFmt w:val="bullet"/>
      <w:lvlText w:val="o"/>
      <w:lvlJc w:val="left"/>
      <w:pPr>
        <w:ind w:left="6837" w:hanging="360"/>
      </w:pPr>
      <w:rPr>
        <w:rFonts w:ascii="Courier New" w:hAnsi="Courier New" w:cs="Courier New" w:hint="default"/>
      </w:rPr>
    </w:lvl>
    <w:lvl w:ilvl="8" w:tplc="04100005" w:tentative="1">
      <w:start w:val="1"/>
      <w:numFmt w:val="bullet"/>
      <w:lvlText w:val=""/>
      <w:lvlJc w:val="left"/>
      <w:pPr>
        <w:ind w:left="7557" w:hanging="360"/>
      </w:pPr>
      <w:rPr>
        <w:rFonts w:ascii="Wingdings" w:hAnsi="Wingdings" w:hint="default"/>
      </w:rPr>
    </w:lvl>
  </w:abstractNum>
  <w:abstractNum w:abstractNumId="17" w15:restartNumberingAfterBreak="0">
    <w:nsid w:val="5A17733D"/>
    <w:multiLevelType w:val="multilevel"/>
    <w:tmpl w:val="57641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9866FC"/>
    <w:multiLevelType w:val="hybridMultilevel"/>
    <w:tmpl w:val="60B81136"/>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64460E29"/>
    <w:multiLevelType w:val="hybridMultilevel"/>
    <w:tmpl w:val="ED88094E"/>
    <w:lvl w:ilvl="0" w:tplc="8E98BF6A">
      <w:start w:val="2"/>
      <w:numFmt w:val="bullet"/>
      <w:lvlText w:val="-"/>
      <w:lvlJc w:val="left"/>
      <w:pPr>
        <w:ind w:left="720" w:hanging="360"/>
      </w:pPr>
      <w:rPr>
        <w:rFonts w:ascii="PT Sans" w:eastAsia="Times New Roman" w:hAnsi="PT San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C7C1BC8"/>
    <w:multiLevelType w:val="hybridMultilevel"/>
    <w:tmpl w:val="FE8AAFC8"/>
    <w:lvl w:ilvl="0" w:tplc="1BBECEB0">
      <w:start w:val="1"/>
      <w:numFmt w:val="lowerLetter"/>
      <w:pStyle w:val="puntoelencolettera"/>
      <w:lvlText w:val="%1)"/>
      <w:lvlJc w:val="left"/>
      <w:pPr>
        <w:tabs>
          <w:tab w:val="num" w:pos="227"/>
        </w:tabs>
        <w:ind w:left="227" w:hanging="227"/>
      </w:pPr>
      <w:rPr>
        <w:rFonts w:ascii="PT Sans" w:hAnsi="PT Sans" w:hint="default"/>
        <w:strike w:val="0"/>
        <w:color w:val="auto"/>
        <w:sz w:val="20"/>
        <w:szCs w:val="20"/>
      </w:rPr>
    </w:lvl>
    <w:lvl w:ilvl="1" w:tplc="1442A836">
      <w:start w:val="2"/>
      <w:numFmt w:val="bullet"/>
      <w:lvlText w:val="-"/>
      <w:lvlJc w:val="left"/>
      <w:pPr>
        <w:tabs>
          <w:tab w:val="num" w:pos="1440"/>
        </w:tabs>
        <w:ind w:left="1440" w:hanging="360"/>
      </w:pPr>
      <w:rPr>
        <w:rFonts w:ascii="Arial" w:eastAsia="Times New Roman" w:hAnsi="Arial" w:cs="Aria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E9F2C50"/>
    <w:multiLevelType w:val="hybridMultilevel"/>
    <w:tmpl w:val="67A24D1A"/>
    <w:lvl w:ilvl="0" w:tplc="0410000B">
      <w:start w:val="1"/>
      <w:numFmt w:val="bullet"/>
      <w:lvlText w:val=""/>
      <w:lvlJc w:val="left"/>
      <w:pPr>
        <w:ind w:left="1713" w:hanging="360"/>
      </w:pPr>
      <w:rPr>
        <w:rFonts w:ascii="Wingdings" w:hAnsi="Wingdings"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22" w15:restartNumberingAfterBreak="0">
    <w:nsid w:val="79836A62"/>
    <w:multiLevelType w:val="hybridMultilevel"/>
    <w:tmpl w:val="EFE0FAEA"/>
    <w:lvl w:ilvl="0" w:tplc="03B4811E">
      <w:numFmt w:val="bullet"/>
      <w:pStyle w:val="puntoelencopallino"/>
      <w:suff w:val="space"/>
      <w:lvlText w:val="•"/>
      <w:lvlJc w:val="left"/>
      <w:pPr>
        <w:ind w:left="720" w:hanging="360"/>
      </w:pPr>
      <w:rPr>
        <w:rFonts w:ascii="PT Sans" w:eastAsia="Times New Roman" w:hAnsi="PT Sans"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591041989">
    <w:abstractNumId w:val="11"/>
  </w:num>
  <w:num w:numId="2" w16cid:durableId="987977072">
    <w:abstractNumId w:val="15"/>
  </w:num>
  <w:num w:numId="3" w16cid:durableId="1097214535">
    <w:abstractNumId w:val="12"/>
  </w:num>
  <w:num w:numId="4" w16cid:durableId="257179038">
    <w:abstractNumId w:val="5"/>
  </w:num>
  <w:num w:numId="5" w16cid:durableId="1677225003">
    <w:abstractNumId w:val="20"/>
  </w:num>
  <w:num w:numId="6" w16cid:durableId="1651985475">
    <w:abstractNumId w:val="7"/>
  </w:num>
  <w:num w:numId="7" w16cid:durableId="1181773558">
    <w:abstractNumId w:val="1"/>
  </w:num>
  <w:num w:numId="8" w16cid:durableId="1554341404">
    <w:abstractNumId w:val="22"/>
  </w:num>
  <w:num w:numId="9" w16cid:durableId="1144809138">
    <w:abstractNumId w:val="6"/>
  </w:num>
  <w:num w:numId="10" w16cid:durableId="1353646939">
    <w:abstractNumId w:val="9"/>
  </w:num>
  <w:num w:numId="11" w16cid:durableId="1110509525">
    <w:abstractNumId w:val="13"/>
  </w:num>
  <w:num w:numId="12" w16cid:durableId="1786535393">
    <w:abstractNumId w:val="19"/>
  </w:num>
  <w:num w:numId="13" w16cid:durableId="378481171">
    <w:abstractNumId w:val="2"/>
  </w:num>
  <w:num w:numId="14" w16cid:durableId="835531114">
    <w:abstractNumId w:val="16"/>
  </w:num>
  <w:num w:numId="15" w16cid:durableId="310596993">
    <w:abstractNumId w:val="21"/>
  </w:num>
  <w:num w:numId="16" w16cid:durableId="1219704770">
    <w:abstractNumId w:val="8"/>
  </w:num>
  <w:num w:numId="17" w16cid:durableId="149253415">
    <w:abstractNumId w:val="17"/>
  </w:num>
  <w:num w:numId="18" w16cid:durableId="1616212080">
    <w:abstractNumId w:val="14"/>
  </w:num>
  <w:num w:numId="19" w16cid:durableId="1704790803">
    <w:abstractNumId w:val="10"/>
  </w:num>
  <w:num w:numId="20" w16cid:durableId="544567048">
    <w:abstractNumId w:val="18"/>
  </w:num>
  <w:num w:numId="21" w16cid:durableId="355271863">
    <w:abstractNumId w:val="4"/>
  </w:num>
  <w:num w:numId="22" w16cid:durableId="463548045">
    <w:abstractNumId w:val="0"/>
  </w:num>
  <w:num w:numId="23" w16cid:durableId="1818837658">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it-IT" w:vendorID="3" w:dllVersion="517" w:checkStyle="1"/>
  <w:proofState w:spelling="clean" w:grammar="clean"/>
  <w:documentProtection w:edit="readOnly" w:formatting="1" w:enforcement="1" w:cryptProviderType="rsaAES" w:cryptAlgorithmClass="hash" w:cryptAlgorithmType="typeAny" w:cryptAlgorithmSid="14" w:cryptSpinCount="100000" w:hash="vPa14mkeeiq5BfNi//vvk0v62ukNLAnScEr2m48cEeVSYhMLwBgt4HPTz89KO760df2qFPxv8ADFM2E+RE6oAQ==" w:salt="SZ6yCQO2iW/CcDkf3z1SQg=="/>
  <w:defaultTabStop w:val="708"/>
  <w:hyphenationZone w:val="283"/>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3067"/>
    <w:rsid w:val="0000779C"/>
    <w:rsid w:val="000270DE"/>
    <w:rsid w:val="00037FF6"/>
    <w:rsid w:val="000430BE"/>
    <w:rsid w:val="00047F12"/>
    <w:rsid w:val="000901CC"/>
    <w:rsid w:val="000910FA"/>
    <w:rsid w:val="000926FA"/>
    <w:rsid w:val="000B43A5"/>
    <w:rsid w:val="000B63B7"/>
    <w:rsid w:val="000C05A1"/>
    <w:rsid w:val="000D6401"/>
    <w:rsid w:val="000E2C9D"/>
    <w:rsid w:val="000F6DCB"/>
    <w:rsid w:val="00102C17"/>
    <w:rsid w:val="00123141"/>
    <w:rsid w:val="001359B8"/>
    <w:rsid w:val="001376AB"/>
    <w:rsid w:val="001412AF"/>
    <w:rsid w:val="00142996"/>
    <w:rsid w:val="0014633A"/>
    <w:rsid w:val="0015231F"/>
    <w:rsid w:val="00152805"/>
    <w:rsid w:val="00166193"/>
    <w:rsid w:val="001700D8"/>
    <w:rsid w:val="001A0CC5"/>
    <w:rsid w:val="001C2EF5"/>
    <w:rsid w:val="001C38BE"/>
    <w:rsid w:val="001C4EFC"/>
    <w:rsid w:val="001C759D"/>
    <w:rsid w:val="001D5372"/>
    <w:rsid w:val="001F0405"/>
    <w:rsid w:val="00232189"/>
    <w:rsid w:val="002359D2"/>
    <w:rsid w:val="00243057"/>
    <w:rsid w:val="00243BBE"/>
    <w:rsid w:val="00282E0C"/>
    <w:rsid w:val="00291ED7"/>
    <w:rsid w:val="002A0F58"/>
    <w:rsid w:val="002A4120"/>
    <w:rsid w:val="002A65AF"/>
    <w:rsid w:val="002C5463"/>
    <w:rsid w:val="002D6263"/>
    <w:rsid w:val="00304B89"/>
    <w:rsid w:val="003353C7"/>
    <w:rsid w:val="00335BA2"/>
    <w:rsid w:val="00340F4B"/>
    <w:rsid w:val="00352742"/>
    <w:rsid w:val="00385DD0"/>
    <w:rsid w:val="0039156A"/>
    <w:rsid w:val="003974EB"/>
    <w:rsid w:val="003A7682"/>
    <w:rsid w:val="003C3067"/>
    <w:rsid w:val="003C52AC"/>
    <w:rsid w:val="003C7BBB"/>
    <w:rsid w:val="003D0B11"/>
    <w:rsid w:val="003D7D3D"/>
    <w:rsid w:val="003F5570"/>
    <w:rsid w:val="00404F7F"/>
    <w:rsid w:val="00420BBB"/>
    <w:rsid w:val="00424620"/>
    <w:rsid w:val="00426082"/>
    <w:rsid w:val="00450098"/>
    <w:rsid w:val="00482772"/>
    <w:rsid w:val="0049187B"/>
    <w:rsid w:val="004C35B6"/>
    <w:rsid w:val="004E5143"/>
    <w:rsid w:val="004E5C52"/>
    <w:rsid w:val="00511669"/>
    <w:rsid w:val="00521CE8"/>
    <w:rsid w:val="00543F0C"/>
    <w:rsid w:val="00551D4C"/>
    <w:rsid w:val="00557188"/>
    <w:rsid w:val="00565A73"/>
    <w:rsid w:val="0056692D"/>
    <w:rsid w:val="00566AAA"/>
    <w:rsid w:val="00572680"/>
    <w:rsid w:val="005824DA"/>
    <w:rsid w:val="00584D60"/>
    <w:rsid w:val="005A004F"/>
    <w:rsid w:val="005A21D5"/>
    <w:rsid w:val="005A3D41"/>
    <w:rsid w:val="005B753E"/>
    <w:rsid w:val="005C7BB8"/>
    <w:rsid w:val="005E1A6B"/>
    <w:rsid w:val="005F3A06"/>
    <w:rsid w:val="006013E6"/>
    <w:rsid w:val="00606E1E"/>
    <w:rsid w:val="00640192"/>
    <w:rsid w:val="00655160"/>
    <w:rsid w:val="006723A7"/>
    <w:rsid w:val="006776A5"/>
    <w:rsid w:val="006A2CAC"/>
    <w:rsid w:val="006C6C98"/>
    <w:rsid w:val="006C7917"/>
    <w:rsid w:val="006D1E44"/>
    <w:rsid w:val="006D3DC2"/>
    <w:rsid w:val="00742651"/>
    <w:rsid w:val="00743C4B"/>
    <w:rsid w:val="00744F41"/>
    <w:rsid w:val="00750406"/>
    <w:rsid w:val="00750925"/>
    <w:rsid w:val="00761F64"/>
    <w:rsid w:val="00770810"/>
    <w:rsid w:val="00775E91"/>
    <w:rsid w:val="00782875"/>
    <w:rsid w:val="00794541"/>
    <w:rsid w:val="007C062D"/>
    <w:rsid w:val="007D5F90"/>
    <w:rsid w:val="007E754C"/>
    <w:rsid w:val="00815DF5"/>
    <w:rsid w:val="00824168"/>
    <w:rsid w:val="008271E4"/>
    <w:rsid w:val="00855CE4"/>
    <w:rsid w:val="00867A52"/>
    <w:rsid w:val="0089004D"/>
    <w:rsid w:val="00897EF8"/>
    <w:rsid w:val="008A230A"/>
    <w:rsid w:val="008D5C36"/>
    <w:rsid w:val="008E0973"/>
    <w:rsid w:val="008E1080"/>
    <w:rsid w:val="00904610"/>
    <w:rsid w:val="00927352"/>
    <w:rsid w:val="00940D8D"/>
    <w:rsid w:val="0095743F"/>
    <w:rsid w:val="00964AE0"/>
    <w:rsid w:val="00970D83"/>
    <w:rsid w:val="0098481E"/>
    <w:rsid w:val="009C0F7E"/>
    <w:rsid w:val="009C21B8"/>
    <w:rsid w:val="009C4197"/>
    <w:rsid w:val="009D7D9A"/>
    <w:rsid w:val="009E5CC4"/>
    <w:rsid w:val="009F6CFC"/>
    <w:rsid w:val="009F6E12"/>
    <w:rsid w:val="00A02BDC"/>
    <w:rsid w:val="00A134DE"/>
    <w:rsid w:val="00A23382"/>
    <w:rsid w:val="00A507A2"/>
    <w:rsid w:val="00A725FF"/>
    <w:rsid w:val="00A8135A"/>
    <w:rsid w:val="00A90499"/>
    <w:rsid w:val="00A97AEC"/>
    <w:rsid w:val="00AA1FAB"/>
    <w:rsid w:val="00AA3760"/>
    <w:rsid w:val="00AA5E88"/>
    <w:rsid w:val="00AE14F2"/>
    <w:rsid w:val="00AF164E"/>
    <w:rsid w:val="00B010A5"/>
    <w:rsid w:val="00B0581E"/>
    <w:rsid w:val="00B20216"/>
    <w:rsid w:val="00B20371"/>
    <w:rsid w:val="00B340D8"/>
    <w:rsid w:val="00B66A03"/>
    <w:rsid w:val="00B81A72"/>
    <w:rsid w:val="00BB6C90"/>
    <w:rsid w:val="00BE5C0F"/>
    <w:rsid w:val="00C018C4"/>
    <w:rsid w:val="00C02A47"/>
    <w:rsid w:val="00C314E4"/>
    <w:rsid w:val="00C36F3E"/>
    <w:rsid w:val="00C41606"/>
    <w:rsid w:val="00C45619"/>
    <w:rsid w:val="00C53AE8"/>
    <w:rsid w:val="00C61043"/>
    <w:rsid w:val="00C61F6E"/>
    <w:rsid w:val="00C67EF5"/>
    <w:rsid w:val="00C7391D"/>
    <w:rsid w:val="00C77D7D"/>
    <w:rsid w:val="00C82DD6"/>
    <w:rsid w:val="00C867A6"/>
    <w:rsid w:val="00C91E15"/>
    <w:rsid w:val="00CA06CB"/>
    <w:rsid w:val="00CC3A8A"/>
    <w:rsid w:val="00CC448F"/>
    <w:rsid w:val="00CD07D1"/>
    <w:rsid w:val="00CD56FA"/>
    <w:rsid w:val="00CF202A"/>
    <w:rsid w:val="00CF46A9"/>
    <w:rsid w:val="00D07C93"/>
    <w:rsid w:val="00D13550"/>
    <w:rsid w:val="00D375A3"/>
    <w:rsid w:val="00D5010D"/>
    <w:rsid w:val="00D7207B"/>
    <w:rsid w:val="00D76775"/>
    <w:rsid w:val="00D80C93"/>
    <w:rsid w:val="00DB1546"/>
    <w:rsid w:val="00DB6E40"/>
    <w:rsid w:val="00DC2FEE"/>
    <w:rsid w:val="00DD08EC"/>
    <w:rsid w:val="00DD4BAC"/>
    <w:rsid w:val="00DF2417"/>
    <w:rsid w:val="00DF75F3"/>
    <w:rsid w:val="00E27045"/>
    <w:rsid w:val="00E327EE"/>
    <w:rsid w:val="00E524DA"/>
    <w:rsid w:val="00E727F6"/>
    <w:rsid w:val="00E73D68"/>
    <w:rsid w:val="00E802A3"/>
    <w:rsid w:val="00E84B5E"/>
    <w:rsid w:val="00E87A60"/>
    <w:rsid w:val="00E90F14"/>
    <w:rsid w:val="00EB0425"/>
    <w:rsid w:val="00EB0717"/>
    <w:rsid w:val="00EB0C92"/>
    <w:rsid w:val="00ED1254"/>
    <w:rsid w:val="00ED2D8E"/>
    <w:rsid w:val="00ED5575"/>
    <w:rsid w:val="00EE06AE"/>
    <w:rsid w:val="00EE361D"/>
    <w:rsid w:val="00F00A31"/>
    <w:rsid w:val="00F047DF"/>
    <w:rsid w:val="00F07340"/>
    <w:rsid w:val="00F24EAD"/>
    <w:rsid w:val="00F57F95"/>
    <w:rsid w:val="00F670E0"/>
    <w:rsid w:val="00F717B6"/>
    <w:rsid w:val="00F86DB9"/>
    <w:rsid w:val="00F92DBA"/>
    <w:rsid w:val="00FA11BF"/>
    <w:rsid w:val="00FB15B9"/>
    <w:rsid w:val="00FD196B"/>
    <w:rsid w:val="00FE0692"/>
    <w:rsid w:val="00FE22D1"/>
    <w:rsid w:val="00FE6132"/>
    <w:rsid w:val="00FE6E69"/>
    <w:rsid w:val="00FF37F9"/>
    <w:rsid w:val="00FF4E73"/>
    <w:rsid w:val="00FF7203"/>
  </w:rsids>
  <m:mathPr>
    <m:mathFont m:val="Cambria Math"/>
    <m:brkBin m:val="before"/>
    <m:brkBinSub m:val="--"/>
    <m:smallFrac m:val="0"/>
    <m:dispDef m:val="0"/>
    <m:lMargin m:val="0"/>
    <m:rMargin m:val="0"/>
    <m:defJc m:val="centerGroup"/>
    <m:wrapRight/>
    <m:intLim m:val="subSup"/>
    <m:naryLim m:val="subSup"/>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6CD8C64"/>
  <w15:docId w15:val="{0A86834E-7BF5-45F1-B13E-0D1AE68A7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it-IT" w:eastAsia="ja-JP"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47F12"/>
    <w:pPr>
      <w:spacing w:after="0"/>
      <w:ind w:left="1077"/>
      <w:jc w:val="both"/>
    </w:pPr>
    <w:rPr>
      <w:rFonts w:ascii="Calibri" w:eastAsia="Calibri" w:hAnsi="Calibri" w:cs="Times New Roman"/>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nhideWhenUsed/>
    <w:rsid w:val="003C3067"/>
    <w:pPr>
      <w:tabs>
        <w:tab w:val="center" w:pos="4819"/>
        <w:tab w:val="right" w:pos="9638"/>
      </w:tabs>
    </w:pPr>
  </w:style>
  <w:style w:type="character" w:customStyle="1" w:styleId="IntestazioneCarattere">
    <w:name w:val="Intestazione Carattere"/>
    <w:basedOn w:val="Carpredefinitoparagrafo"/>
    <w:link w:val="Intestazione"/>
    <w:rsid w:val="003C3067"/>
  </w:style>
  <w:style w:type="paragraph" w:styleId="Pidipagina">
    <w:name w:val="footer"/>
    <w:basedOn w:val="Normale"/>
    <w:link w:val="PidipaginaCarattere"/>
    <w:unhideWhenUsed/>
    <w:rsid w:val="003C3067"/>
    <w:pPr>
      <w:tabs>
        <w:tab w:val="center" w:pos="4819"/>
        <w:tab w:val="right" w:pos="9638"/>
      </w:tabs>
    </w:pPr>
  </w:style>
  <w:style w:type="character" w:customStyle="1" w:styleId="PidipaginaCarattere">
    <w:name w:val="Piè di pagina Carattere"/>
    <w:basedOn w:val="Carpredefinitoparagrafo"/>
    <w:link w:val="Pidipagina"/>
    <w:rsid w:val="003C3067"/>
  </w:style>
  <w:style w:type="paragraph" w:styleId="Testofumetto">
    <w:name w:val="Balloon Text"/>
    <w:basedOn w:val="Normale"/>
    <w:link w:val="TestofumettoCarattere"/>
    <w:unhideWhenUsed/>
    <w:rsid w:val="003C3067"/>
    <w:rPr>
      <w:rFonts w:ascii="Lucida Grande" w:hAnsi="Lucida Grande"/>
      <w:sz w:val="18"/>
      <w:szCs w:val="18"/>
    </w:rPr>
  </w:style>
  <w:style w:type="character" w:customStyle="1" w:styleId="TestofumettoCarattere">
    <w:name w:val="Testo fumetto Carattere"/>
    <w:basedOn w:val="Carpredefinitoparagrafo"/>
    <w:link w:val="Testofumetto"/>
    <w:rsid w:val="003C3067"/>
    <w:rPr>
      <w:rFonts w:ascii="Lucida Grande" w:hAnsi="Lucida Grande"/>
      <w:sz w:val="18"/>
      <w:szCs w:val="18"/>
    </w:rPr>
  </w:style>
  <w:style w:type="paragraph" w:styleId="NormaleWeb">
    <w:name w:val="Normal (Web)"/>
    <w:basedOn w:val="Normale"/>
    <w:semiHidden/>
    <w:unhideWhenUsed/>
    <w:rsid w:val="003C3067"/>
    <w:pPr>
      <w:spacing w:before="100" w:beforeAutospacing="1" w:after="100" w:afterAutospacing="1"/>
    </w:pPr>
    <w:rPr>
      <w:rFonts w:ascii="Times" w:hAnsi="Times"/>
      <w:sz w:val="20"/>
      <w:szCs w:val="20"/>
      <w:lang w:eastAsia="it-IT"/>
    </w:rPr>
  </w:style>
  <w:style w:type="paragraph" w:customStyle="1" w:styleId="titoloinformativa">
    <w:name w:val="titolo informativa"/>
    <w:rsid w:val="00557188"/>
    <w:pPr>
      <w:spacing w:after="0" w:line="320" w:lineRule="exact"/>
      <w:jc w:val="center"/>
    </w:pPr>
    <w:rPr>
      <w:rFonts w:ascii="PT Sans" w:eastAsia="Times New Roman" w:hAnsi="PT Sans" w:cs="Times New Roman"/>
      <w:b/>
      <w:bCs/>
      <w:szCs w:val="20"/>
      <w:lang w:eastAsia="it-IT"/>
    </w:rPr>
  </w:style>
  <w:style w:type="paragraph" w:customStyle="1" w:styleId="corpotestoinformativa">
    <w:name w:val="corpo testo informativa"/>
    <w:link w:val="corpotestoinformativaCarattere"/>
    <w:rsid w:val="00557188"/>
    <w:pPr>
      <w:spacing w:after="0" w:line="320" w:lineRule="exact"/>
      <w:jc w:val="both"/>
    </w:pPr>
    <w:rPr>
      <w:rFonts w:ascii="PT Sans" w:eastAsia="Times New Roman" w:hAnsi="PT Sans" w:cs="Times New Roman"/>
      <w:sz w:val="22"/>
      <w:szCs w:val="20"/>
      <w:lang w:eastAsia="it-IT"/>
    </w:rPr>
  </w:style>
  <w:style w:type="character" w:customStyle="1" w:styleId="firma">
    <w:name w:val="firma"/>
    <w:rsid w:val="00557188"/>
    <w:rPr>
      <w:rFonts w:ascii="PT Sans" w:hAnsi="PT Sans"/>
      <w:b/>
      <w:bCs/>
      <w:i/>
      <w:iCs/>
    </w:rPr>
  </w:style>
  <w:style w:type="paragraph" w:customStyle="1" w:styleId="xmsonormal">
    <w:name w:val="x_msonormal"/>
    <w:basedOn w:val="Normale"/>
    <w:rsid w:val="003C52AC"/>
    <w:pPr>
      <w:spacing w:before="100" w:beforeAutospacing="1" w:after="100" w:afterAutospacing="1"/>
      <w:ind w:left="0"/>
      <w:jc w:val="left"/>
    </w:pPr>
    <w:rPr>
      <w:rFonts w:eastAsiaTheme="minorHAnsi" w:cs="Calibri"/>
      <w:lang w:eastAsia="it-IT"/>
    </w:rPr>
  </w:style>
  <w:style w:type="paragraph" w:customStyle="1" w:styleId="wkit-indentation-level-0">
    <w:name w:val="wkit-indentation-level-0"/>
    <w:basedOn w:val="Normale"/>
    <w:rsid w:val="00E84B5E"/>
    <w:pPr>
      <w:spacing w:before="100" w:beforeAutospacing="1" w:after="100" w:afterAutospacing="1"/>
      <w:ind w:left="0"/>
      <w:jc w:val="left"/>
    </w:pPr>
    <w:rPr>
      <w:rFonts w:ascii="Times New Roman" w:eastAsia="Times New Roman" w:hAnsi="Times New Roman"/>
      <w:sz w:val="24"/>
      <w:szCs w:val="24"/>
      <w:lang w:eastAsia="it-IT"/>
    </w:rPr>
  </w:style>
  <w:style w:type="character" w:styleId="Collegamentoipertestuale">
    <w:name w:val="Hyperlink"/>
    <w:basedOn w:val="Carpredefinitoparagrafo"/>
    <w:uiPriority w:val="99"/>
    <w:unhideWhenUsed/>
    <w:rsid w:val="00E84B5E"/>
    <w:rPr>
      <w:color w:val="0000FF"/>
      <w:u w:val="single"/>
    </w:rPr>
  </w:style>
  <w:style w:type="character" w:customStyle="1" w:styleId="wkit-bold">
    <w:name w:val="wkit-bold"/>
    <w:basedOn w:val="Carpredefinitoparagrafo"/>
    <w:rsid w:val="00E84B5E"/>
  </w:style>
  <w:style w:type="character" w:customStyle="1" w:styleId="corpotestoinformativaCarattere">
    <w:name w:val="corpo testo informativa Carattere"/>
    <w:link w:val="corpotestoinformativa"/>
    <w:rsid w:val="002A0F58"/>
    <w:rPr>
      <w:rFonts w:ascii="PT Sans" w:eastAsia="Times New Roman" w:hAnsi="PT Sans" w:cs="Times New Roman"/>
      <w:sz w:val="22"/>
      <w:szCs w:val="20"/>
      <w:lang w:eastAsia="it-IT"/>
    </w:rPr>
  </w:style>
  <w:style w:type="paragraph" w:customStyle="1" w:styleId="paragrafo">
    <w:name w:val="paragrafo"/>
    <w:basedOn w:val="corpotestoinformativa"/>
    <w:rsid w:val="00584D60"/>
    <w:rPr>
      <w:b/>
      <w:color w:val="D2232A"/>
    </w:rPr>
  </w:style>
  <w:style w:type="paragraph" w:customStyle="1" w:styleId="rubrica">
    <w:name w:val="rubrica"/>
    <w:rsid w:val="00584D60"/>
    <w:pPr>
      <w:spacing w:after="0" w:line="320" w:lineRule="exact"/>
    </w:pPr>
    <w:rPr>
      <w:rFonts w:ascii="PT Sans" w:eastAsia="Times New Roman" w:hAnsi="PT Sans" w:cs="Arial"/>
      <w:b/>
      <w:sz w:val="32"/>
      <w:szCs w:val="32"/>
      <w:lang w:eastAsia="it-IT"/>
    </w:rPr>
  </w:style>
  <w:style w:type="paragraph" w:customStyle="1" w:styleId="sottoparagrafo">
    <w:name w:val="sottoparagrafo"/>
    <w:basedOn w:val="NormaleWeb"/>
    <w:rsid w:val="00584D60"/>
    <w:pPr>
      <w:numPr>
        <w:numId w:val="10"/>
      </w:numPr>
      <w:ind w:left="1077"/>
    </w:pPr>
  </w:style>
  <w:style w:type="paragraph" w:customStyle="1" w:styleId="testopuntoelenco">
    <w:name w:val="testo punto elenco"/>
    <w:basedOn w:val="corpotestoinformativa"/>
    <w:rsid w:val="00584D60"/>
    <w:pPr>
      <w:numPr>
        <w:numId w:val="3"/>
      </w:numPr>
    </w:pPr>
    <w:rPr>
      <w:rFonts w:cs="Arial"/>
      <w:szCs w:val="22"/>
    </w:rPr>
  </w:style>
  <w:style w:type="paragraph" w:customStyle="1" w:styleId="sottotitolotabellasfondochiaro">
    <w:name w:val="sottotitolo tabella sfondo chiaro"/>
    <w:basedOn w:val="Normale"/>
    <w:uiPriority w:val="11"/>
    <w:qFormat/>
    <w:rsid w:val="00584D60"/>
    <w:pPr>
      <w:spacing w:line="280" w:lineRule="exact"/>
      <w:ind w:left="0"/>
      <w:jc w:val="center"/>
    </w:pPr>
    <w:rPr>
      <w:rFonts w:ascii="PT Sans" w:eastAsia="Times New Roman" w:hAnsi="PT Sans"/>
      <w:color w:val="000000"/>
      <w:sz w:val="20"/>
      <w:szCs w:val="20"/>
      <w:lang w:eastAsia="it-IT"/>
    </w:rPr>
  </w:style>
  <w:style w:type="paragraph" w:customStyle="1" w:styleId="titolotabellasfondoscuro">
    <w:name w:val="titolo tabella sfondo scuro"/>
    <w:basedOn w:val="sottotitolotabellasfondochiaro"/>
    <w:uiPriority w:val="9"/>
    <w:qFormat/>
    <w:rsid w:val="00584D60"/>
    <w:pPr>
      <w:spacing w:line="320" w:lineRule="exact"/>
    </w:pPr>
    <w:rPr>
      <w:b/>
    </w:rPr>
  </w:style>
  <w:style w:type="paragraph" w:customStyle="1" w:styleId="testotabella10">
    <w:name w:val="testo tabella 10"/>
    <w:basedOn w:val="Normale"/>
    <w:qFormat/>
    <w:rsid w:val="00584D60"/>
    <w:pPr>
      <w:spacing w:line="320" w:lineRule="exact"/>
      <w:ind w:left="0"/>
    </w:pPr>
    <w:rPr>
      <w:rFonts w:ascii="PT Sans" w:eastAsia="Times New Roman" w:hAnsi="PT Sans"/>
      <w:color w:val="000000"/>
      <w:sz w:val="20"/>
      <w:szCs w:val="20"/>
      <w:lang w:eastAsia="it-IT"/>
    </w:rPr>
  </w:style>
  <w:style w:type="table" w:customStyle="1" w:styleId="Stile8">
    <w:name w:val="Stile8"/>
    <w:basedOn w:val="Tabellanormale"/>
    <w:uiPriority w:val="99"/>
    <w:rsid w:val="00584D60"/>
    <w:pPr>
      <w:spacing w:after="0"/>
    </w:pPr>
    <w:rPr>
      <w:rFonts w:ascii="Calibri" w:eastAsia="Calibri" w:hAnsi="Calibri" w:cs="Times New Roman"/>
      <w:sz w:val="20"/>
      <w:szCs w:val="20"/>
      <w:lang w:eastAsia="it-IT"/>
    </w:rPr>
    <w:tblPr>
      <w:tblBorders>
        <w:top w:val="single" w:sz="4" w:space="0" w:color="A40037"/>
        <w:left w:val="single" w:sz="4" w:space="0" w:color="A40037"/>
        <w:bottom w:val="single" w:sz="4" w:space="0" w:color="A40037"/>
        <w:right w:val="single" w:sz="4" w:space="0" w:color="A40037"/>
        <w:insideH w:val="single" w:sz="4" w:space="0" w:color="A40037"/>
        <w:insideV w:val="single" w:sz="4" w:space="0" w:color="A40037"/>
      </w:tblBorders>
    </w:tblPr>
    <w:tblStylePr w:type="firstRow">
      <w:tblPr/>
      <w:tcPr>
        <w:shd w:val="clear" w:color="auto" w:fill="FF5353"/>
      </w:tcPr>
    </w:tblStylePr>
  </w:style>
  <w:style w:type="paragraph" w:customStyle="1" w:styleId="macrotemabox">
    <w:name w:val="macrotema box"/>
    <w:rsid w:val="00584D60"/>
    <w:pPr>
      <w:spacing w:after="0" w:line="280" w:lineRule="exact"/>
      <w:jc w:val="center"/>
    </w:pPr>
    <w:rPr>
      <w:rFonts w:ascii="PT Sans" w:eastAsia="Times New Roman" w:hAnsi="PT Sans" w:cs="Times New Roman"/>
      <w:b/>
      <w:bCs/>
      <w:iCs/>
      <w:smallCaps/>
      <w:color w:val="FFFFFF"/>
      <w:sz w:val="32"/>
      <w:szCs w:val="20"/>
      <w:lang w:eastAsia="it-IT"/>
    </w:rPr>
  </w:style>
  <w:style w:type="paragraph" w:customStyle="1" w:styleId="testoflash">
    <w:name w:val="testo flash"/>
    <w:basedOn w:val="corpotestoinformativa"/>
    <w:rsid w:val="00584D60"/>
  </w:style>
  <w:style w:type="paragraph" w:customStyle="1" w:styleId="fonteflash">
    <w:name w:val="fonte flash"/>
    <w:basedOn w:val="Normale"/>
    <w:rsid w:val="00584D60"/>
    <w:pPr>
      <w:spacing w:before="60" w:after="40" w:line="320" w:lineRule="exact"/>
      <w:ind w:left="0"/>
      <w:jc w:val="right"/>
    </w:pPr>
    <w:rPr>
      <w:rFonts w:ascii="PT Sans" w:eastAsia="Times New Roman" w:hAnsi="PT Sans"/>
      <w:b/>
      <w:bCs/>
      <w:sz w:val="20"/>
      <w:szCs w:val="20"/>
      <w:lang w:eastAsia="it-IT"/>
    </w:rPr>
  </w:style>
  <w:style w:type="paragraph" w:customStyle="1" w:styleId="titoloflash">
    <w:name w:val="titolo flash"/>
    <w:rsid w:val="00584D60"/>
    <w:pPr>
      <w:spacing w:after="0" w:line="320" w:lineRule="exact"/>
    </w:pPr>
    <w:rPr>
      <w:rFonts w:ascii="PT Sans" w:eastAsia="Times New Roman" w:hAnsi="PT Sans" w:cs="Times New Roman"/>
      <w:b/>
      <w:bCs/>
      <w:sz w:val="22"/>
      <w:szCs w:val="20"/>
      <w:lang w:eastAsia="it-IT"/>
    </w:rPr>
  </w:style>
  <w:style w:type="paragraph" w:customStyle="1" w:styleId="flash2TITOLO">
    <w:name w:val="flash 2 TITOLO"/>
    <w:basedOn w:val="Normale"/>
    <w:uiPriority w:val="1"/>
    <w:rsid w:val="00584D60"/>
    <w:pPr>
      <w:widowControl w:val="0"/>
      <w:autoSpaceDE w:val="0"/>
      <w:autoSpaceDN w:val="0"/>
      <w:adjustRightInd w:val="0"/>
      <w:ind w:left="0"/>
      <w:textAlignment w:val="center"/>
    </w:pPr>
    <w:rPr>
      <w:rFonts w:ascii="PT Sans" w:eastAsia="Times New Roman" w:hAnsi="PT Sans" w:cs="Calibri"/>
      <w:b/>
      <w:bCs/>
      <w:color w:val="000000"/>
      <w:szCs w:val="24"/>
      <w:lang w:eastAsia="it-IT"/>
    </w:rPr>
  </w:style>
  <w:style w:type="paragraph" w:customStyle="1" w:styleId="flash3TESTO">
    <w:name w:val="flash 3 TESTO"/>
    <w:basedOn w:val="Normale"/>
    <w:uiPriority w:val="1"/>
    <w:rsid w:val="00584D60"/>
    <w:pPr>
      <w:widowControl w:val="0"/>
      <w:autoSpaceDE w:val="0"/>
      <w:autoSpaceDN w:val="0"/>
      <w:adjustRightInd w:val="0"/>
      <w:ind w:left="0"/>
      <w:textAlignment w:val="center"/>
    </w:pPr>
    <w:rPr>
      <w:rFonts w:ascii="PT Sans" w:eastAsia="Times New Roman" w:hAnsi="PT Sans" w:cs="Calibri"/>
      <w:color w:val="000000"/>
      <w:lang w:eastAsia="it-IT"/>
    </w:rPr>
  </w:style>
  <w:style w:type="character" w:styleId="Numeropagina">
    <w:name w:val="page number"/>
    <w:rsid w:val="00584D60"/>
    <w:rPr>
      <w:rFonts w:ascii="PT Sans" w:hAnsi="PT Sans"/>
    </w:rPr>
  </w:style>
  <w:style w:type="character" w:customStyle="1" w:styleId="titolirubricheindice">
    <w:name w:val="titoli rubriche indice"/>
    <w:rsid w:val="00584D60"/>
    <w:rPr>
      <w:rFonts w:ascii="PT Sans" w:hAnsi="PT Sans"/>
      <w:b/>
      <w:bCs/>
      <w:color w:val="D2232A"/>
      <w:sz w:val="28"/>
    </w:rPr>
  </w:style>
  <w:style w:type="paragraph" w:customStyle="1" w:styleId="spaziotrascadenzeccnl">
    <w:name w:val="spazio tra scadenze ccnl"/>
    <w:basedOn w:val="Normale"/>
    <w:qFormat/>
    <w:rsid w:val="00584D60"/>
    <w:pPr>
      <w:ind w:left="0"/>
      <w:jc w:val="left"/>
    </w:pPr>
    <w:rPr>
      <w:rFonts w:ascii="PT Sans" w:eastAsia="Times New Roman" w:hAnsi="PT Sans"/>
      <w:sz w:val="16"/>
      <w:szCs w:val="16"/>
      <w:lang w:eastAsia="it-IT"/>
    </w:rPr>
  </w:style>
  <w:style w:type="paragraph" w:customStyle="1" w:styleId="puntielenconumeri">
    <w:name w:val="punti elenco numeri"/>
    <w:rsid w:val="00584D60"/>
    <w:pPr>
      <w:numPr>
        <w:numId w:val="4"/>
      </w:numPr>
      <w:shd w:val="clear" w:color="auto" w:fill="FFFFFF"/>
      <w:spacing w:after="0" w:line="320" w:lineRule="exact"/>
      <w:ind w:left="357" w:hanging="357"/>
      <w:jc w:val="both"/>
    </w:pPr>
    <w:rPr>
      <w:rFonts w:ascii="PT Sans" w:eastAsia="Times New Roman" w:hAnsi="PT Sans" w:cs="Arial"/>
      <w:sz w:val="22"/>
      <w:szCs w:val="22"/>
      <w:lang w:eastAsia="it-IT"/>
    </w:rPr>
  </w:style>
  <w:style w:type="paragraph" w:customStyle="1" w:styleId="Titoloscadenza">
    <w:name w:val="Titolo scadenza"/>
    <w:rsid w:val="00584D60"/>
    <w:pPr>
      <w:spacing w:after="0" w:line="320" w:lineRule="exact"/>
      <w:jc w:val="both"/>
    </w:pPr>
    <w:rPr>
      <w:rFonts w:ascii="PT Sans" w:eastAsia="Times New Roman" w:hAnsi="PT Sans" w:cs="Times New Roman"/>
      <w:b/>
      <w:bCs/>
      <w:color w:val="000000"/>
      <w:sz w:val="22"/>
      <w:szCs w:val="20"/>
      <w:lang w:eastAsia="it-IT"/>
    </w:rPr>
  </w:style>
  <w:style w:type="paragraph" w:customStyle="1" w:styleId="puntoelencolettera">
    <w:name w:val="punto elenco lettera"/>
    <w:basedOn w:val="testopuntoelenco"/>
    <w:qFormat/>
    <w:rsid w:val="00584D60"/>
    <w:pPr>
      <w:numPr>
        <w:numId w:val="5"/>
      </w:numPr>
    </w:pPr>
  </w:style>
  <w:style w:type="paragraph" w:customStyle="1" w:styleId="testotabella10ok">
    <w:name w:val="testo tabella 10 ok"/>
    <w:basedOn w:val="Normale"/>
    <w:uiPriority w:val="5"/>
    <w:qFormat/>
    <w:rsid w:val="00584D60"/>
    <w:pPr>
      <w:spacing w:line="280" w:lineRule="atLeast"/>
      <w:ind w:left="0"/>
    </w:pPr>
    <w:rPr>
      <w:rFonts w:ascii="PT Sans" w:eastAsia="Times New Roman" w:hAnsi="PT Sans"/>
      <w:color w:val="000000"/>
      <w:sz w:val="20"/>
      <w:szCs w:val="20"/>
      <w:lang w:eastAsia="it-IT"/>
    </w:rPr>
  </w:style>
  <w:style w:type="paragraph" w:customStyle="1" w:styleId="testotabella10g">
    <w:name w:val="testo tabella 10 g"/>
    <w:basedOn w:val="testotabella10ok"/>
    <w:uiPriority w:val="5"/>
    <w:qFormat/>
    <w:rsid w:val="00584D60"/>
    <w:pPr>
      <w:jc w:val="center"/>
    </w:pPr>
    <w:rPr>
      <w:b/>
    </w:rPr>
  </w:style>
  <w:style w:type="paragraph" w:customStyle="1" w:styleId="puntielencotabella">
    <w:name w:val="punti elenco tabella"/>
    <w:basedOn w:val="puntielenconumeri"/>
    <w:qFormat/>
    <w:rsid w:val="00584D60"/>
    <w:pPr>
      <w:numPr>
        <w:numId w:val="2"/>
      </w:numPr>
      <w:spacing w:line="280" w:lineRule="atLeast"/>
      <w:ind w:left="357" w:hanging="357"/>
    </w:pPr>
    <w:rPr>
      <w:rFonts w:eastAsia="Calibri"/>
      <w:sz w:val="20"/>
      <w:szCs w:val="20"/>
    </w:rPr>
  </w:style>
  <w:style w:type="paragraph" w:customStyle="1" w:styleId="puntoelencotabellapallino">
    <w:name w:val="punto elenco tabella pallino"/>
    <w:basedOn w:val="testopuntoelenco"/>
    <w:qFormat/>
    <w:rsid w:val="00584D60"/>
    <w:pPr>
      <w:numPr>
        <w:numId w:val="1"/>
      </w:numPr>
      <w:spacing w:line="280" w:lineRule="atLeast"/>
    </w:pPr>
    <w:rPr>
      <w:rFonts w:eastAsia="Calibri"/>
      <w:sz w:val="20"/>
      <w:szCs w:val="20"/>
    </w:rPr>
  </w:style>
  <w:style w:type="paragraph" w:customStyle="1" w:styleId="testotabellapallino">
    <w:name w:val="testo tabella pallino"/>
    <w:basedOn w:val="Normale"/>
    <w:uiPriority w:val="13"/>
    <w:qFormat/>
    <w:rsid w:val="00584D60"/>
    <w:pPr>
      <w:numPr>
        <w:numId w:val="6"/>
      </w:numPr>
      <w:spacing w:line="320" w:lineRule="exact"/>
      <w:jc w:val="left"/>
    </w:pPr>
    <w:rPr>
      <w:rFonts w:ascii="PT Sans" w:eastAsia="Times New Roman" w:hAnsi="PT Sans"/>
      <w:szCs w:val="24"/>
      <w:lang w:eastAsia="it-IT"/>
    </w:rPr>
  </w:style>
  <w:style w:type="character" w:styleId="Enfasicorsivo">
    <w:name w:val="Emphasis"/>
    <w:uiPriority w:val="20"/>
    <w:qFormat/>
    <w:rsid w:val="00584D60"/>
    <w:rPr>
      <w:i/>
      <w:iCs/>
    </w:rPr>
  </w:style>
  <w:style w:type="paragraph" w:customStyle="1" w:styleId="flash5fontenotizianolink">
    <w:name w:val="flash 5 fonte notizia no link"/>
    <w:basedOn w:val="Normale"/>
    <w:uiPriority w:val="1"/>
    <w:rsid w:val="00584D60"/>
    <w:pPr>
      <w:widowControl w:val="0"/>
      <w:autoSpaceDE w:val="0"/>
      <w:autoSpaceDN w:val="0"/>
      <w:adjustRightInd w:val="0"/>
      <w:spacing w:before="20"/>
      <w:ind w:left="0"/>
      <w:jc w:val="right"/>
      <w:textAlignment w:val="center"/>
    </w:pPr>
    <w:rPr>
      <w:rFonts w:ascii="PT Sans" w:eastAsia="Times New Roman" w:hAnsi="PT Sans" w:cs="Calibri-Bold"/>
      <w:bCs/>
      <w:color w:val="000000"/>
      <w:sz w:val="20"/>
      <w:szCs w:val="20"/>
      <w:lang w:eastAsia="it-IT"/>
    </w:rPr>
  </w:style>
  <w:style w:type="table" w:styleId="Grigliatabella">
    <w:name w:val="Table Grid"/>
    <w:basedOn w:val="Tabellanormale"/>
    <w:uiPriority w:val="59"/>
    <w:rsid w:val="00584D60"/>
    <w:pPr>
      <w:spacing w:after="0"/>
    </w:pPr>
    <w:rPr>
      <w:rFonts w:ascii="Times New Roman" w:eastAsia="Times New Roman" w:hAnsi="Times New Roman" w:cs="Times New Roman"/>
      <w:sz w:val="20"/>
      <w:szCs w:val="20"/>
      <w:lang w:eastAsia="it-I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untielencoletterea">
    <w:name w:val="punti elenco lettere a)"/>
    <w:basedOn w:val="Normale"/>
    <w:qFormat/>
    <w:rsid w:val="00584D60"/>
    <w:pPr>
      <w:numPr>
        <w:numId w:val="7"/>
      </w:numPr>
      <w:shd w:val="clear" w:color="auto" w:fill="FFFFFF"/>
      <w:spacing w:line="320" w:lineRule="exact"/>
      <w:ind w:left="227" w:hanging="227"/>
    </w:pPr>
    <w:rPr>
      <w:rFonts w:ascii="PT Sans" w:eastAsia="Times New Roman" w:hAnsi="PT Sans" w:cs="Arial"/>
      <w:lang w:eastAsia="it-IT"/>
    </w:rPr>
  </w:style>
  <w:style w:type="paragraph" w:customStyle="1" w:styleId="indice">
    <w:name w:val="indice"/>
    <w:basedOn w:val="Normale"/>
    <w:rsid w:val="00584D60"/>
    <w:pPr>
      <w:spacing w:line="320" w:lineRule="exact"/>
      <w:ind w:left="0" w:right="252"/>
    </w:pPr>
    <w:rPr>
      <w:rFonts w:ascii="PT Sans" w:eastAsia="Times New Roman" w:hAnsi="PT Sans" w:cs="Arial"/>
      <w:lang w:eastAsia="it-IT"/>
    </w:rPr>
  </w:style>
  <w:style w:type="paragraph" w:styleId="Corpotesto">
    <w:name w:val="Body Text"/>
    <w:basedOn w:val="Normale"/>
    <w:link w:val="CorpotestoCarattere"/>
    <w:unhideWhenUsed/>
    <w:rsid w:val="00584D60"/>
    <w:pPr>
      <w:spacing w:after="120"/>
      <w:ind w:left="0"/>
      <w:jc w:val="left"/>
    </w:pPr>
    <w:rPr>
      <w:rFonts w:ascii="Times New Roman" w:eastAsia="Times New Roman" w:hAnsi="Times New Roman"/>
      <w:sz w:val="24"/>
      <w:szCs w:val="24"/>
      <w:lang w:eastAsia="it-IT"/>
    </w:rPr>
  </w:style>
  <w:style w:type="character" w:customStyle="1" w:styleId="CorpotestoCarattere">
    <w:name w:val="Corpo testo Carattere"/>
    <w:basedOn w:val="Carpredefinitoparagrafo"/>
    <w:link w:val="Corpotesto"/>
    <w:rsid w:val="00584D60"/>
    <w:rPr>
      <w:rFonts w:ascii="Times New Roman" w:eastAsia="Times New Roman" w:hAnsi="Times New Roman" w:cs="Times New Roman"/>
      <w:lang w:eastAsia="it-IT"/>
    </w:rPr>
  </w:style>
  <w:style w:type="paragraph" w:customStyle="1" w:styleId="TableParagraph">
    <w:name w:val="Table Paragraph"/>
    <w:basedOn w:val="Normale"/>
    <w:uiPriority w:val="1"/>
    <w:qFormat/>
    <w:rsid w:val="00584D60"/>
    <w:pPr>
      <w:widowControl w:val="0"/>
      <w:autoSpaceDE w:val="0"/>
      <w:autoSpaceDN w:val="0"/>
      <w:adjustRightInd w:val="0"/>
      <w:spacing w:before="52"/>
      <w:ind w:left="110"/>
      <w:jc w:val="left"/>
    </w:pPr>
    <w:rPr>
      <w:rFonts w:ascii="Arial" w:eastAsia="Times New Roman" w:hAnsi="Arial" w:cs="Arial"/>
      <w:sz w:val="24"/>
      <w:szCs w:val="24"/>
      <w:lang w:eastAsia="it-IT"/>
    </w:rPr>
  </w:style>
  <w:style w:type="paragraph" w:customStyle="1" w:styleId="Default">
    <w:name w:val="Default"/>
    <w:rsid w:val="00584D60"/>
    <w:pPr>
      <w:autoSpaceDE w:val="0"/>
      <w:autoSpaceDN w:val="0"/>
      <w:adjustRightInd w:val="0"/>
      <w:spacing w:after="0"/>
    </w:pPr>
    <w:rPr>
      <w:rFonts w:ascii="Verdana" w:eastAsia="Times New Roman" w:hAnsi="Verdana" w:cs="Verdana"/>
      <w:color w:val="000000"/>
      <w:lang w:eastAsia="it-IT"/>
    </w:rPr>
  </w:style>
  <w:style w:type="character" w:styleId="Menzionenonrisolta">
    <w:name w:val="Unresolved Mention"/>
    <w:uiPriority w:val="99"/>
    <w:semiHidden/>
    <w:unhideWhenUsed/>
    <w:rsid w:val="00584D60"/>
    <w:rPr>
      <w:color w:val="605E5C"/>
      <w:shd w:val="clear" w:color="auto" w:fill="E1DFDD"/>
    </w:rPr>
  </w:style>
  <w:style w:type="paragraph" w:styleId="PreformattatoHTML">
    <w:name w:val="HTML Preformatted"/>
    <w:basedOn w:val="Normale"/>
    <w:link w:val="PreformattatoHTMLCarattere"/>
    <w:uiPriority w:val="99"/>
    <w:unhideWhenUsed/>
    <w:rsid w:val="00584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jc w:val="left"/>
    </w:pPr>
    <w:rPr>
      <w:rFonts w:ascii="Courier New" w:eastAsia="Times New Roman"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rsid w:val="00584D60"/>
    <w:rPr>
      <w:rFonts w:ascii="Courier New" w:eastAsia="Times New Roman" w:hAnsi="Courier New" w:cs="Courier New"/>
      <w:sz w:val="20"/>
      <w:szCs w:val="20"/>
      <w:lang w:eastAsia="it-IT"/>
    </w:rPr>
  </w:style>
  <w:style w:type="character" w:styleId="Collegamentovisitato">
    <w:name w:val="FollowedHyperlink"/>
    <w:uiPriority w:val="99"/>
    <w:unhideWhenUsed/>
    <w:rsid w:val="00584D60"/>
    <w:rPr>
      <w:color w:val="954F72"/>
      <w:u w:val="single"/>
    </w:rPr>
  </w:style>
  <w:style w:type="paragraph" w:customStyle="1" w:styleId="puntoelencopallino">
    <w:name w:val="punto elenco pallino"/>
    <w:basedOn w:val="Normale"/>
    <w:uiPriority w:val="6"/>
    <w:qFormat/>
    <w:rsid w:val="00584D60"/>
    <w:pPr>
      <w:numPr>
        <w:numId w:val="8"/>
      </w:numPr>
      <w:spacing w:line="360" w:lineRule="auto"/>
    </w:pPr>
    <w:rPr>
      <w:rFonts w:ascii="PT Sans" w:eastAsia="Times New Roman" w:hAnsi="PT Sans"/>
      <w:szCs w:val="20"/>
      <w:lang w:eastAsia="it-IT"/>
    </w:rPr>
  </w:style>
  <w:style w:type="paragraph" w:customStyle="1" w:styleId="sottopuntielenco-">
    <w:name w:val="sottopunti elenco -"/>
    <w:basedOn w:val="Normale"/>
    <w:rsid w:val="00584D60"/>
    <w:pPr>
      <w:numPr>
        <w:ilvl w:val="1"/>
        <w:numId w:val="9"/>
      </w:numPr>
      <w:shd w:val="clear" w:color="auto" w:fill="FFFFFF"/>
      <w:spacing w:line="320" w:lineRule="exact"/>
    </w:pPr>
    <w:rPr>
      <w:rFonts w:ascii="PT Sans" w:eastAsia="Times New Roman" w:hAnsi="PT Sans" w:cs="Arial"/>
      <w:lang w:eastAsia="it-IT"/>
    </w:rPr>
  </w:style>
  <w:style w:type="paragraph" w:customStyle="1" w:styleId="puntoelenco">
    <w:name w:val="punto elenco"/>
    <w:rsid w:val="00584D60"/>
    <w:pPr>
      <w:tabs>
        <w:tab w:val="num" w:pos="227"/>
      </w:tabs>
      <w:spacing w:after="0" w:line="320" w:lineRule="exact"/>
      <w:ind w:left="227" w:hanging="227"/>
      <w:jc w:val="both"/>
    </w:pPr>
    <w:rPr>
      <w:rFonts w:ascii="PT Sans" w:eastAsia="Times New Roman" w:hAnsi="PT Sans" w:cs="Arial"/>
      <w:sz w:val="22"/>
      <w:szCs w:val="22"/>
      <w:lang w:eastAsia="it-IT"/>
    </w:rPr>
  </w:style>
  <w:style w:type="character" w:styleId="Enfasigrassetto">
    <w:name w:val="Strong"/>
    <w:basedOn w:val="Carpredefinitoparagrafo"/>
    <w:uiPriority w:val="22"/>
    <w:qFormat/>
    <w:rsid w:val="00FF7203"/>
    <w:rPr>
      <w:b/>
      <w:bCs/>
    </w:rPr>
  </w:style>
  <w:style w:type="paragraph" w:customStyle="1" w:styleId="abstractarticoli">
    <w:name w:val="abstract  (articoli)"/>
    <w:basedOn w:val="Normale"/>
    <w:rsid w:val="00F00A31"/>
    <w:pPr>
      <w:widowControl w:val="0"/>
      <w:suppressAutoHyphens/>
      <w:autoSpaceDE w:val="0"/>
      <w:autoSpaceDN w:val="0"/>
      <w:adjustRightInd w:val="0"/>
      <w:ind w:left="0"/>
    </w:pPr>
    <w:rPr>
      <w:rFonts w:ascii="PT Sans" w:eastAsia="Times New Roman" w:hAnsi="PT Sans" w:cs="InfoTextOT-Italic"/>
      <w:i/>
      <w:iCs/>
      <w:color w:val="000000"/>
      <w:sz w:val="26"/>
      <w:szCs w:val="26"/>
      <w:lang w:eastAsia="it-IT"/>
    </w:rPr>
  </w:style>
  <w:style w:type="paragraph" w:customStyle="1" w:styleId="Normale1">
    <w:name w:val="Normale1"/>
    <w:rsid w:val="00B20216"/>
    <w:pPr>
      <w:spacing w:after="0" w:line="320" w:lineRule="exact"/>
    </w:pPr>
    <w:rPr>
      <w:rFonts w:ascii="PT Sans" w:eastAsia="ヒラギノ角ゴ Pro W3" w:hAnsi="PT Sans" w:cs="Times New Roman"/>
      <w:color w:val="000000"/>
      <w:szCs w:val="20"/>
      <w:lang w:eastAsia="it-IT"/>
    </w:rPr>
  </w:style>
  <w:style w:type="paragraph" w:styleId="Paragrafoelenco">
    <w:name w:val="List Paragraph"/>
    <w:basedOn w:val="Normale"/>
    <w:uiPriority w:val="34"/>
    <w:qFormat/>
    <w:rsid w:val="00AE14F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07978">
      <w:bodyDiv w:val="1"/>
      <w:marLeft w:val="0"/>
      <w:marRight w:val="0"/>
      <w:marTop w:val="0"/>
      <w:marBottom w:val="0"/>
      <w:divBdr>
        <w:top w:val="none" w:sz="0" w:space="0" w:color="auto"/>
        <w:left w:val="none" w:sz="0" w:space="0" w:color="auto"/>
        <w:bottom w:val="none" w:sz="0" w:space="0" w:color="auto"/>
        <w:right w:val="none" w:sz="0" w:space="0" w:color="auto"/>
      </w:divBdr>
    </w:div>
    <w:div w:id="136144652">
      <w:bodyDiv w:val="1"/>
      <w:marLeft w:val="0"/>
      <w:marRight w:val="0"/>
      <w:marTop w:val="0"/>
      <w:marBottom w:val="0"/>
      <w:divBdr>
        <w:top w:val="none" w:sz="0" w:space="0" w:color="auto"/>
        <w:left w:val="none" w:sz="0" w:space="0" w:color="auto"/>
        <w:bottom w:val="none" w:sz="0" w:space="0" w:color="auto"/>
        <w:right w:val="none" w:sz="0" w:space="0" w:color="auto"/>
      </w:divBdr>
    </w:div>
    <w:div w:id="204685517">
      <w:bodyDiv w:val="1"/>
      <w:marLeft w:val="0"/>
      <w:marRight w:val="0"/>
      <w:marTop w:val="0"/>
      <w:marBottom w:val="0"/>
      <w:divBdr>
        <w:top w:val="none" w:sz="0" w:space="0" w:color="auto"/>
        <w:left w:val="none" w:sz="0" w:space="0" w:color="auto"/>
        <w:bottom w:val="none" w:sz="0" w:space="0" w:color="auto"/>
        <w:right w:val="none" w:sz="0" w:space="0" w:color="auto"/>
      </w:divBdr>
      <w:divsChild>
        <w:div w:id="394157852">
          <w:marLeft w:val="0"/>
          <w:marRight w:val="0"/>
          <w:marTop w:val="0"/>
          <w:marBottom w:val="300"/>
          <w:divBdr>
            <w:top w:val="none" w:sz="0" w:space="0" w:color="auto"/>
            <w:left w:val="none" w:sz="0" w:space="0" w:color="auto"/>
            <w:bottom w:val="none" w:sz="0" w:space="0" w:color="auto"/>
            <w:right w:val="none" w:sz="0" w:space="0" w:color="auto"/>
          </w:divBdr>
        </w:div>
        <w:div w:id="1190291153">
          <w:marLeft w:val="0"/>
          <w:marRight w:val="0"/>
          <w:marTop w:val="0"/>
          <w:marBottom w:val="300"/>
          <w:divBdr>
            <w:top w:val="none" w:sz="0" w:space="0" w:color="auto"/>
            <w:left w:val="none" w:sz="0" w:space="0" w:color="auto"/>
            <w:bottom w:val="none" w:sz="0" w:space="0" w:color="auto"/>
            <w:right w:val="none" w:sz="0" w:space="0" w:color="auto"/>
          </w:divBdr>
        </w:div>
        <w:div w:id="198011214">
          <w:marLeft w:val="0"/>
          <w:marRight w:val="0"/>
          <w:marTop w:val="0"/>
          <w:marBottom w:val="300"/>
          <w:divBdr>
            <w:top w:val="none" w:sz="0" w:space="0" w:color="auto"/>
            <w:left w:val="none" w:sz="0" w:space="0" w:color="auto"/>
            <w:bottom w:val="none" w:sz="0" w:space="0" w:color="auto"/>
            <w:right w:val="none" w:sz="0" w:space="0" w:color="auto"/>
          </w:divBdr>
        </w:div>
        <w:div w:id="2030984360">
          <w:marLeft w:val="0"/>
          <w:marRight w:val="0"/>
          <w:marTop w:val="0"/>
          <w:marBottom w:val="300"/>
          <w:divBdr>
            <w:top w:val="none" w:sz="0" w:space="0" w:color="auto"/>
            <w:left w:val="none" w:sz="0" w:space="0" w:color="auto"/>
            <w:bottom w:val="none" w:sz="0" w:space="0" w:color="auto"/>
            <w:right w:val="none" w:sz="0" w:space="0" w:color="auto"/>
          </w:divBdr>
        </w:div>
        <w:div w:id="1234973993">
          <w:marLeft w:val="0"/>
          <w:marRight w:val="0"/>
          <w:marTop w:val="0"/>
          <w:marBottom w:val="300"/>
          <w:divBdr>
            <w:top w:val="none" w:sz="0" w:space="0" w:color="auto"/>
            <w:left w:val="none" w:sz="0" w:space="0" w:color="auto"/>
            <w:bottom w:val="none" w:sz="0" w:space="0" w:color="auto"/>
            <w:right w:val="none" w:sz="0" w:space="0" w:color="auto"/>
          </w:divBdr>
        </w:div>
      </w:divsChild>
    </w:div>
    <w:div w:id="230043774">
      <w:bodyDiv w:val="1"/>
      <w:marLeft w:val="0"/>
      <w:marRight w:val="0"/>
      <w:marTop w:val="0"/>
      <w:marBottom w:val="0"/>
      <w:divBdr>
        <w:top w:val="none" w:sz="0" w:space="0" w:color="auto"/>
        <w:left w:val="none" w:sz="0" w:space="0" w:color="auto"/>
        <w:bottom w:val="none" w:sz="0" w:space="0" w:color="auto"/>
        <w:right w:val="none" w:sz="0" w:space="0" w:color="auto"/>
      </w:divBdr>
      <w:divsChild>
        <w:div w:id="925455772">
          <w:marLeft w:val="0"/>
          <w:marRight w:val="0"/>
          <w:marTop w:val="0"/>
          <w:marBottom w:val="75"/>
          <w:divBdr>
            <w:top w:val="none" w:sz="0" w:space="0" w:color="auto"/>
            <w:left w:val="none" w:sz="0" w:space="0" w:color="auto"/>
            <w:bottom w:val="none" w:sz="0" w:space="0" w:color="auto"/>
            <w:right w:val="none" w:sz="0" w:space="0" w:color="auto"/>
          </w:divBdr>
        </w:div>
        <w:div w:id="1797020191">
          <w:marLeft w:val="0"/>
          <w:marRight w:val="0"/>
          <w:marTop w:val="0"/>
          <w:marBottom w:val="75"/>
          <w:divBdr>
            <w:top w:val="none" w:sz="0" w:space="0" w:color="auto"/>
            <w:left w:val="none" w:sz="0" w:space="0" w:color="auto"/>
            <w:bottom w:val="none" w:sz="0" w:space="0" w:color="auto"/>
            <w:right w:val="none" w:sz="0" w:space="0" w:color="auto"/>
          </w:divBdr>
        </w:div>
        <w:div w:id="1729302729">
          <w:marLeft w:val="0"/>
          <w:marRight w:val="0"/>
          <w:marTop w:val="0"/>
          <w:marBottom w:val="75"/>
          <w:divBdr>
            <w:top w:val="none" w:sz="0" w:space="0" w:color="auto"/>
            <w:left w:val="none" w:sz="0" w:space="0" w:color="auto"/>
            <w:bottom w:val="none" w:sz="0" w:space="0" w:color="auto"/>
            <w:right w:val="none" w:sz="0" w:space="0" w:color="auto"/>
          </w:divBdr>
        </w:div>
        <w:div w:id="2032871197">
          <w:marLeft w:val="0"/>
          <w:marRight w:val="0"/>
          <w:marTop w:val="0"/>
          <w:marBottom w:val="75"/>
          <w:divBdr>
            <w:top w:val="none" w:sz="0" w:space="0" w:color="auto"/>
            <w:left w:val="none" w:sz="0" w:space="0" w:color="auto"/>
            <w:bottom w:val="none" w:sz="0" w:space="0" w:color="auto"/>
            <w:right w:val="none" w:sz="0" w:space="0" w:color="auto"/>
          </w:divBdr>
        </w:div>
      </w:divsChild>
    </w:div>
    <w:div w:id="306205820">
      <w:bodyDiv w:val="1"/>
      <w:marLeft w:val="0"/>
      <w:marRight w:val="0"/>
      <w:marTop w:val="0"/>
      <w:marBottom w:val="0"/>
      <w:divBdr>
        <w:top w:val="none" w:sz="0" w:space="0" w:color="auto"/>
        <w:left w:val="none" w:sz="0" w:space="0" w:color="auto"/>
        <w:bottom w:val="none" w:sz="0" w:space="0" w:color="auto"/>
        <w:right w:val="none" w:sz="0" w:space="0" w:color="auto"/>
      </w:divBdr>
    </w:div>
    <w:div w:id="447315867">
      <w:bodyDiv w:val="1"/>
      <w:marLeft w:val="0"/>
      <w:marRight w:val="0"/>
      <w:marTop w:val="0"/>
      <w:marBottom w:val="0"/>
      <w:divBdr>
        <w:top w:val="none" w:sz="0" w:space="0" w:color="auto"/>
        <w:left w:val="none" w:sz="0" w:space="0" w:color="auto"/>
        <w:bottom w:val="none" w:sz="0" w:space="0" w:color="auto"/>
        <w:right w:val="none" w:sz="0" w:space="0" w:color="auto"/>
      </w:divBdr>
    </w:div>
    <w:div w:id="685711878">
      <w:bodyDiv w:val="1"/>
      <w:marLeft w:val="0"/>
      <w:marRight w:val="0"/>
      <w:marTop w:val="0"/>
      <w:marBottom w:val="0"/>
      <w:divBdr>
        <w:top w:val="none" w:sz="0" w:space="0" w:color="auto"/>
        <w:left w:val="none" w:sz="0" w:space="0" w:color="auto"/>
        <w:bottom w:val="none" w:sz="0" w:space="0" w:color="auto"/>
        <w:right w:val="none" w:sz="0" w:space="0" w:color="auto"/>
      </w:divBdr>
    </w:div>
    <w:div w:id="936598328">
      <w:bodyDiv w:val="1"/>
      <w:marLeft w:val="0"/>
      <w:marRight w:val="0"/>
      <w:marTop w:val="0"/>
      <w:marBottom w:val="0"/>
      <w:divBdr>
        <w:top w:val="none" w:sz="0" w:space="0" w:color="auto"/>
        <w:left w:val="none" w:sz="0" w:space="0" w:color="auto"/>
        <w:bottom w:val="none" w:sz="0" w:space="0" w:color="auto"/>
        <w:right w:val="none" w:sz="0" w:space="0" w:color="auto"/>
      </w:divBdr>
      <w:divsChild>
        <w:div w:id="1207062535">
          <w:marLeft w:val="0"/>
          <w:marRight w:val="0"/>
          <w:marTop w:val="0"/>
          <w:marBottom w:val="0"/>
          <w:divBdr>
            <w:top w:val="none" w:sz="0" w:space="0" w:color="auto"/>
            <w:left w:val="none" w:sz="0" w:space="0" w:color="auto"/>
            <w:bottom w:val="none" w:sz="0" w:space="0" w:color="auto"/>
            <w:right w:val="none" w:sz="0" w:space="0" w:color="auto"/>
          </w:divBdr>
        </w:div>
      </w:divsChild>
    </w:div>
    <w:div w:id="947152424">
      <w:bodyDiv w:val="1"/>
      <w:marLeft w:val="0"/>
      <w:marRight w:val="0"/>
      <w:marTop w:val="0"/>
      <w:marBottom w:val="0"/>
      <w:divBdr>
        <w:top w:val="none" w:sz="0" w:space="0" w:color="auto"/>
        <w:left w:val="none" w:sz="0" w:space="0" w:color="auto"/>
        <w:bottom w:val="none" w:sz="0" w:space="0" w:color="auto"/>
        <w:right w:val="none" w:sz="0" w:space="0" w:color="auto"/>
      </w:divBdr>
      <w:divsChild>
        <w:div w:id="1644432389">
          <w:marLeft w:val="0"/>
          <w:marRight w:val="0"/>
          <w:marTop w:val="0"/>
          <w:marBottom w:val="75"/>
          <w:divBdr>
            <w:top w:val="none" w:sz="0" w:space="0" w:color="auto"/>
            <w:left w:val="none" w:sz="0" w:space="0" w:color="auto"/>
            <w:bottom w:val="none" w:sz="0" w:space="0" w:color="auto"/>
            <w:right w:val="none" w:sz="0" w:space="0" w:color="auto"/>
          </w:divBdr>
        </w:div>
      </w:divsChild>
    </w:div>
    <w:div w:id="1034385680">
      <w:bodyDiv w:val="1"/>
      <w:marLeft w:val="0"/>
      <w:marRight w:val="0"/>
      <w:marTop w:val="0"/>
      <w:marBottom w:val="0"/>
      <w:divBdr>
        <w:top w:val="none" w:sz="0" w:space="0" w:color="auto"/>
        <w:left w:val="none" w:sz="0" w:space="0" w:color="auto"/>
        <w:bottom w:val="none" w:sz="0" w:space="0" w:color="auto"/>
        <w:right w:val="none" w:sz="0" w:space="0" w:color="auto"/>
      </w:divBdr>
      <w:divsChild>
        <w:div w:id="1504667039">
          <w:marLeft w:val="0"/>
          <w:marRight w:val="0"/>
          <w:marTop w:val="0"/>
          <w:marBottom w:val="75"/>
          <w:divBdr>
            <w:top w:val="none" w:sz="0" w:space="0" w:color="auto"/>
            <w:left w:val="none" w:sz="0" w:space="0" w:color="auto"/>
            <w:bottom w:val="none" w:sz="0" w:space="0" w:color="auto"/>
            <w:right w:val="none" w:sz="0" w:space="0" w:color="auto"/>
          </w:divBdr>
        </w:div>
      </w:divsChild>
    </w:div>
    <w:div w:id="1050765598">
      <w:bodyDiv w:val="1"/>
      <w:marLeft w:val="0"/>
      <w:marRight w:val="0"/>
      <w:marTop w:val="0"/>
      <w:marBottom w:val="0"/>
      <w:divBdr>
        <w:top w:val="none" w:sz="0" w:space="0" w:color="auto"/>
        <w:left w:val="none" w:sz="0" w:space="0" w:color="auto"/>
        <w:bottom w:val="none" w:sz="0" w:space="0" w:color="auto"/>
        <w:right w:val="none" w:sz="0" w:space="0" w:color="auto"/>
      </w:divBdr>
      <w:divsChild>
        <w:div w:id="1278487557">
          <w:marLeft w:val="0"/>
          <w:marRight w:val="0"/>
          <w:marTop w:val="0"/>
          <w:marBottom w:val="75"/>
          <w:divBdr>
            <w:top w:val="none" w:sz="0" w:space="0" w:color="auto"/>
            <w:left w:val="none" w:sz="0" w:space="0" w:color="auto"/>
            <w:bottom w:val="none" w:sz="0" w:space="0" w:color="auto"/>
            <w:right w:val="none" w:sz="0" w:space="0" w:color="auto"/>
          </w:divBdr>
        </w:div>
      </w:divsChild>
    </w:div>
    <w:div w:id="1075125726">
      <w:bodyDiv w:val="1"/>
      <w:marLeft w:val="0"/>
      <w:marRight w:val="0"/>
      <w:marTop w:val="0"/>
      <w:marBottom w:val="0"/>
      <w:divBdr>
        <w:top w:val="none" w:sz="0" w:space="0" w:color="auto"/>
        <w:left w:val="none" w:sz="0" w:space="0" w:color="auto"/>
        <w:bottom w:val="none" w:sz="0" w:space="0" w:color="auto"/>
        <w:right w:val="none" w:sz="0" w:space="0" w:color="auto"/>
      </w:divBdr>
      <w:divsChild>
        <w:div w:id="306472445">
          <w:marLeft w:val="0"/>
          <w:marRight w:val="0"/>
          <w:marTop w:val="0"/>
          <w:marBottom w:val="0"/>
          <w:divBdr>
            <w:top w:val="none" w:sz="0" w:space="0" w:color="auto"/>
            <w:left w:val="none" w:sz="0" w:space="0" w:color="auto"/>
            <w:bottom w:val="none" w:sz="0" w:space="0" w:color="auto"/>
            <w:right w:val="none" w:sz="0" w:space="0" w:color="auto"/>
          </w:divBdr>
        </w:div>
      </w:divsChild>
    </w:div>
    <w:div w:id="1136872241">
      <w:bodyDiv w:val="1"/>
      <w:marLeft w:val="0"/>
      <w:marRight w:val="0"/>
      <w:marTop w:val="0"/>
      <w:marBottom w:val="0"/>
      <w:divBdr>
        <w:top w:val="none" w:sz="0" w:space="0" w:color="auto"/>
        <w:left w:val="none" w:sz="0" w:space="0" w:color="auto"/>
        <w:bottom w:val="none" w:sz="0" w:space="0" w:color="auto"/>
        <w:right w:val="none" w:sz="0" w:space="0" w:color="auto"/>
      </w:divBdr>
      <w:divsChild>
        <w:div w:id="754673365">
          <w:marLeft w:val="0"/>
          <w:marRight w:val="0"/>
          <w:marTop w:val="0"/>
          <w:marBottom w:val="75"/>
          <w:divBdr>
            <w:top w:val="none" w:sz="0" w:space="0" w:color="auto"/>
            <w:left w:val="none" w:sz="0" w:space="0" w:color="auto"/>
            <w:bottom w:val="none" w:sz="0" w:space="0" w:color="auto"/>
            <w:right w:val="none" w:sz="0" w:space="0" w:color="auto"/>
          </w:divBdr>
        </w:div>
      </w:divsChild>
    </w:div>
    <w:div w:id="1141072098">
      <w:bodyDiv w:val="1"/>
      <w:marLeft w:val="0"/>
      <w:marRight w:val="0"/>
      <w:marTop w:val="0"/>
      <w:marBottom w:val="0"/>
      <w:divBdr>
        <w:top w:val="none" w:sz="0" w:space="0" w:color="auto"/>
        <w:left w:val="none" w:sz="0" w:space="0" w:color="auto"/>
        <w:bottom w:val="none" w:sz="0" w:space="0" w:color="auto"/>
        <w:right w:val="none" w:sz="0" w:space="0" w:color="auto"/>
      </w:divBdr>
    </w:div>
    <w:div w:id="1143039469">
      <w:bodyDiv w:val="1"/>
      <w:marLeft w:val="0"/>
      <w:marRight w:val="0"/>
      <w:marTop w:val="0"/>
      <w:marBottom w:val="0"/>
      <w:divBdr>
        <w:top w:val="none" w:sz="0" w:space="0" w:color="auto"/>
        <w:left w:val="none" w:sz="0" w:space="0" w:color="auto"/>
        <w:bottom w:val="none" w:sz="0" w:space="0" w:color="auto"/>
        <w:right w:val="none" w:sz="0" w:space="0" w:color="auto"/>
      </w:divBdr>
    </w:div>
    <w:div w:id="1275404514">
      <w:bodyDiv w:val="1"/>
      <w:marLeft w:val="0"/>
      <w:marRight w:val="0"/>
      <w:marTop w:val="0"/>
      <w:marBottom w:val="0"/>
      <w:divBdr>
        <w:top w:val="none" w:sz="0" w:space="0" w:color="auto"/>
        <w:left w:val="none" w:sz="0" w:space="0" w:color="auto"/>
        <w:bottom w:val="none" w:sz="0" w:space="0" w:color="auto"/>
        <w:right w:val="none" w:sz="0" w:space="0" w:color="auto"/>
      </w:divBdr>
    </w:div>
    <w:div w:id="1834879510">
      <w:bodyDiv w:val="1"/>
      <w:marLeft w:val="0"/>
      <w:marRight w:val="0"/>
      <w:marTop w:val="0"/>
      <w:marBottom w:val="0"/>
      <w:divBdr>
        <w:top w:val="none" w:sz="0" w:space="0" w:color="auto"/>
        <w:left w:val="none" w:sz="0" w:space="0" w:color="auto"/>
        <w:bottom w:val="none" w:sz="0" w:space="0" w:color="auto"/>
        <w:right w:val="none" w:sz="0" w:space="0" w:color="auto"/>
      </w:divBdr>
    </w:div>
    <w:div w:id="1863737755">
      <w:bodyDiv w:val="1"/>
      <w:marLeft w:val="0"/>
      <w:marRight w:val="0"/>
      <w:marTop w:val="0"/>
      <w:marBottom w:val="0"/>
      <w:divBdr>
        <w:top w:val="none" w:sz="0" w:space="0" w:color="auto"/>
        <w:left w:val="none" w:sz="0" w:space="0" w:color="auto"/>
        <w:bottom w:val="none" w:sz="0" w:space="0" w:color="auto"/>
        <w:right w:val="none" w:sz="0" w:space="0" w:color="auto"/>
      </w:divBdr>
    </w:div>
    <w:div w:id="1985817681">
      <w:bodyDiv w:val="1"/>
      <w:marLeft w:val="0"/>
      <w:marRight w:val="0"/>
      <w:marTop w:val="0"/>
      <w:marBottom w:val="0"/>
      <w:divBdr>
        <w:top w:val="none" w:sz="0" w:space="0" w:color="auto"/>
        <w:left w:val="none" w:sz="0" w:space="0" w:color="auto"/>
        <w:bottom w:val="none" w:sz="0" w:space="0" w:color="auto"/>
        <w:right w:val="none" w:sz="0" w:space="0" w:color="auto"/>
      </w:divBdr>
      <w:divsChild>
        <w:div w:id="1304386179">
          <w:marLeft w:val="0"/>
          <w:marRight w:val="0"/>
          <w:marTop w:val="0"/>
          <w:marBottom w:val="75"/>
          <w:divBdr>
            <w:top w:val="none" w:sz="0" w:space="0" w:color="auto"/>
            <w:left w:val="none" w:sz="0" w:space="0" w:color="auto"/>
            <w:bottom w:val="none" w:sz="0" w:space="0" w:color="auto"/>
            <w:right w:val="none" w:sz="0" w:space="0" w:color="auto"/>
          </w:divBdr>
        </w:div>
      </w:divsChild>
    </w:div>
    <w:div w:id="21399526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nelavoro.wolterskluwer.it/document/10LX0000992187SOMM" TargetMode="External"/><Relationship Id="rId18" Type="http://schemas.openxmlformats.org/officeDocument/2006/relationships/hyperlink" Target="https://www.gazzettaufficiale.it/eli/id/2025/07/25/25G00114/sg?utm_source=chatgpt.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confindustriamacerata.it/relazioni-industriali-e-sindacali/article/21706-conservazione-del-posto-di-lavoro-permessi-e-congedi-a-favore-di-lavoratori-affetti-da-malattie-oncologiche-invalidanti-e-croniche-pubblicata-in-gazzetta-ufficiale-la-legge-n-106-2025.html?utm_source=chatgpt.com" TargetMode="External"/><Relationship Id="rId7" Type="http://schemas.openxmlformats.org/officeDocument/2006/relationships/settings" Target="settings.xml"/><Relationship Id="rId12" Type="http://schemas.openxmlformats.org/officeDocument/2006/relationships/hyperlink" Target="https://www.flcgil.it/leggi-normative/documenti/decreti-legge/decreto-legge-95-del-30-giugno-2025-disposizioni-urgenti-finanziamento-attivita-economiche-e-imprese-interventi-infrastrutture-trasporti-enti-territoriali.flc" TargetMode="External"/><Relationship Id="rId17" Type="http://schemas.openxmlformats.org/officeDocument/2006/relationships/image" Target="media/image1.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onelavoro.wolterskluwer.it/document/10LX0000144828SOMM" TargetMode="External"/><Relationship Id="rId20" Type="http://schemas.openxmlformats.org/officeDocument/2006/relationships/hyperlink" Target="https://www.diritto.it/lavoratori-malattie-oncologiche-invalidanti-tutele/?utm_source=chatgpt.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flcgil.it/leggi-normative/documenti/inps/circolare-inps-139-del-28-ottobre-2025-integrazione-reddito-lavoratrici-madri-con-due-o-piu-figli-nuovo-bonus-mamme.flc"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onelavoro.wolterskluwer.it/document/10LX0000815458SOMM" TargetMode="External"/><Relationship Id="rId23" Type="http://schemas.openxmlformats.org/officeDocument/2006/relationships/hyperlink" Target="https://www.cgil.it/ci-occupiamo-di/contrattazione-sociale/primo-commento-cgil-e-inca-sulla-nuova-legge-106-2025-per-lavoratori-affetti-da-malattie-oncologiche-invalidanti-e-croniche-ya98ag69?utm_source=chatgpt.com" TargetMode="External"/><Relationship Id="rId10" Type="http://schemas.openxmlformats.org/officeDocument/2006/relationships/endnotes" Target="endnotes.xml"/><Relationship Id="rId19" Type="http://schemas.openxmlformats.org/officeDocument/2006/relationships/hyperlink" Target="https://www.terrazzini.it/servizi/consulenza-del-lavor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onelavoro.wolterskluwer.it/document/10LX0000815458ART74" TargetMode="External"/><Relationship Id="rId22" Type="http://schemas.openxmlformats.org/officeDocument/2006/relationships/hyperlink" Target="https://www.consulentidellavoro.it/home/storico-articoli/18855-congedi-e-permessi-per-lavoratori-con-malattie-gravi" TargetMode="Externa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txDef>
      <a:spPr>
        <a:noFill/>
        <a:ln w="6350">
          <a:noFill/>
        </a:ln>
      </a:spPr>
      <a:bodyPr rot="0" spcFirstLastPara="0" vertOverflow="overflow" horzOverflow="overflow" vert="horz" wrap="square" lIns="91440" tIns="45720" rIns="91440" bIns="45720" numCol="1" spcCol="0" rtlCol="0" fromWordArt="0" anchor="t" anchorCtr="0" forceAA="0" compatLnSpc="1">
        <a:prstTxWarp prst="textNoShape">
          <a:avLst/>
        </a:prstTxWarp>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23fdf7b-e0eb-4db5-8499-d2380c229cb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DAFCB30F056F4345A0844739C6D35E15" ma:contentTypeVersion="14" ma:contentTypeDescription="Creare un nuovo documento." ma:contentTypeScope="" ma:versionID="104e1d53ae16c5df09997890cfb32f3e">
  <xsd:schema xmlns:xsd="http://www.w3.org/2001/XMLSchema" xmlns:xs="http://www.w3.org/2001/XMLSchema" xmlns:p="http://schemas.microsoft.com/office/2006/metadata/properties" xmlns:ns2="823fdf7b-e0eb-4db5-8499-d2380c229cb1" xmlns:ns3="c98d467d-1f38-4a35-a4fd-b003e6be3404" targetNamespace="http://schemas.microsoft.com/office/2006/metadata/properties" ma:root="true" ma:fieldsID="88824b1de7e438309ff7c3a35a88da5f" ns2:_="" ns3:_="">
    <xsd:import namespace="823fdf7b-e0eb-4db5-8499-d2380c229cb1"/>
    <xsd:import namespace="c98d467d-1f38-4a35-a4fd-b003e6be340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3fdf7b-e0eb-4db5-8499-d2380c229c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Tag immagine" ma:readOnly="false" ma:fieldId="{5cf76f15-5ced-4ddc-b409-7134ff3c332f}" ma:taxonomyMulti="true" ma:sspId="0576eaef-0544-466b-9432-2b350550ee99"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8d467d-1f38-4a35-a4fd-b003e6be3404" elementFormDefault="qualified">
    <xsd:import namespace="http://schemas.microsoft.com/office/2006/documentManagement/types"/>
    <xsd:import namespace="http://schemas.microsoft.com/office/infopath/2007/PartnerControls"/>
    <xsd:element name="SharedWithUsers" ma:index="19"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882A8F-ECCB-43F9-B888-F348950A5392}">
  <ds:schemaRefs>
    <ds:schemaRef ds:uri="http://schemas.microsoft.com/office/2006/metadata/properties"/>
    <ds:schemaRef ds:uri="http://schemas.microsoft.com/office/infopath/2007/PartnerControls"/>
    <ds:schemaRef ds:uri="823fdf7b-e0eb-4db5-8499-d2380c229cb1"/>
  </ds:schemaRefs>
</ds:datastoreItem>
</file>

<file path=customXml/itemProps2.xml><?xml version="1.0" encoding="utf-8"?>
<ds:datastoreItem xmlns:ds="http://schemas.openxmlformats.org/officeDocument/2006/customXml" ds:itemID="{F52683F6-3BB5-48A7-919A-6B9FEB850887}">
  <ds:schemaRefs>
    <ds:schemaRef ds:uri="http://schemas.openxmlformats.org/officeDocument/2006/bibliography"/>
  </ds:schemaRefs>
</ds:datastoreItem>
</file>

<file path=customXml/itemProps3.xml><?xml version="1.0" encoding="utf-8"?>
<ds:datastoreItem xmlns:ds="http://schemas.openxmlformats.org/officeDocument/2006/customXml" ds:itemID="{1E099D5D-7482-4C60-AA9B-6D2FCBECB9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3fdf7b-e0eb-4db5-8499-d2380c229cb1"/>
    <ds:schemaRef ds:uri="c98d467d-1f38-4a35-a4fd-b003e6be3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C140C4-A855-4F31-9B7D-A06DFDC5B3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2823</Words>
  <Characters>16096</Characters>
  <Application>Microsoft Office Word</Application>
  <DocSecurity>8</DocSecurity>
  <Lines>134</Lines>
  <Paragraphs>37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18882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mf</dc:creator>
  <cp:keywords/>
  <dc:description/>
  <cp:lastModifiedBy>Amministrazione - Studio Dafe</cp:lastModifiedBy>
  <cp:revision>2</cp:revision>
  <cp:lastPrinted>2025-11-03T10:28:00Z</cp:lastPrinted>
  <dcterms:created xsi:type="dcterms:W3CDTF">2025-11-04T16:16:00Z</dcterms:created>
  <dcterms:modified xsi:type="dcterms:W3CDTF">2025-11-04T16:16:00Z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0x010100DAFCB30F056F4345A0844739C6D35E15</vt:lpwstr>
  </property>
</Properties>
</file>