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04921" w14:textId="77777777" w:rsidR="00BE1AA4" w:rsidRDefault="00BE1AA4" w:rsidP="00BE1AA4">
      <w:pPr>
        <w:ind w:left="0"/>
        <w:rPr>
          <w:rFonts w:ascii="Arial" w:eastAsia="Times New Roman" w:hAnsi="Arial" w:cs="Arial"/>
          <w:sz w:val="24"/>
          <w:szCs w:val="24"/>
          <w:lang w:eastAsia="it-IT"/>
        </w:rPr>
      </w:pPr>
      <w:bookmarkStart w:id="0" w:name="_Hlk83196558"/>
      <w:r w:rsidRPr="00BE1AA4">
        <w:rPr>
          <w:rFonts w:ascii="Arial" w:eastAsia="Times New Roman" w:hAnsi="Arial" w:cs="Arial"/>
          <w:sz w:val="24"/>
          <w:szCs w:val="24"/>
          <w:lang w:eastAsia="it-IT"/>
        </w:rPr>
        <w:t xml:space="preserve">Con la presente circolare si intendono riepilogare alcune importanti novità normative di interesse per i datori di lavoro, con particolare riferimento agli obblighi in materia di trasparenza retributiva e alle misure introdotte dal recente </w:t>
      </w:r>
      <w:r w:rsidRPr="00BE1AA4">
        <w:rPr>
          <w:rFonts w:ascii="Arial" w:eastAsia="Times New Roman" w:hAnsi="Arial" w:cs="Arial"/>
          <w:b/>
          <w:bCs/>
          <w:sz w:val="24"/>
          <w:szCs w:val="24"/>
          <w:lang w:eastAsia="it-IT"/>
        </w:rPr>
        <w:t>Decreto Lavoro</w:t>
      </w:r>
      <w:r w:rsidRPr="00BE1AA4">
        <w:rPr>
          <w:rFonts w:ascii="Arial" w:eastAsia="Times New Roman" w:hAnsi="Arial" w:cs="Arial"/>
          <w:sz w:val="24"/>
          <w:szCs w:val="24"/>
          <w:lang w:eastAsia="it-IT"/>
        </w:rPr>
        <w:t>.</w:t>
      </w:r>
    </w:p>
    <w:p w14:paraId="07D75D9E" w14:textId="77777777" w:rsidR="00BE1AA4" w:rsidRPr="00BE1AA4" w:rsidRDefault="00BE1AA4" w:rsidP="00BE1AA4">
      <w:pPr>
        <w:ind w:left="0"/>
        <w:rPr>
          <w:rFonts w:ascii="Arial" w:eastAsia="Times New Roman" w:hAnsi="Arial" w:cs="Arial"/>
          <w:sz w:val="24"/>
          <w:szCs w:val="24"/>
          <w:lang w:eastAsia="it-IT"/>
        </w:rPr>
      </w:pPr>
    </w:p>
    <w:p w14:paraId="11D23E8C" w14:textId="28C6C653" w:rsidR="00BE1AA4" w:rsidRDefault="00BE1AA4" w:rsidP="00BE1AA4">
      <w:pPr>
        <w:ind w:left="0"/>
        <w:rPr>
          <w:rFonts w:ascii="Arial" w:eastAsia="Times New Roman" w:hAnsi="Arial" w:cs="Arial"/>
          <w:sz w:val="24"/>
          <w:szCs w:val="24"/>
          <w:lang w:eastAsia="it-IT"/>
        </w:rPr>
      </w:pPr>
      <w:r w:rsidRPr="00BE1AA4">
        <w:rPr>
          <w:rFonts w:ascii="Arial" w:eastAsia="Times New Roman" w:hAnsi="Arial" w:cs="Arial"/>
          <w:sz w:val="24"/>
          <w:szCs w:val="24"/>
          <w:lang w:eastAsia="it-IT"/>
        </w:rPr>
        <w:t xml:space="preserve">In primo luogo, viene richiamata l’imminente entrata in vigore della disciplina di recepimento della </w:t>
      </w:r>
      <w:r w:rsidRPr="00BE1AA4">
        <w:rPr>
          <w:rFonts w:ascii="Arial" w:eastAsia="Times New Roman" w:hAnsi="Arial" w:cs="Arial"/>
          <w:b/>
          <w:bCs/>
          <w:sz w:val="24"/>
          <w:szCs w:val="24"/>
          <w:lang w:eastAsia="it-IT"/>
        </w:rPr>
        <w:t xml:space="preserve">Direttiva </w:t>
      </w:r>
      <w:r w:rsidR="00464DCB">
        <w:rPr>
          <w:rFonts w:ascii="Arial" w:eastAsia="Times New Roman" w:hAnsi="Arial" w:cs="Arial"/>
          <w:b/>
          <w:bCs/>
          <w:sz w:val="24"/>
          <w:szCs w:val="24"/>
          <w:lang w:eastAsia="it-IT"/>
        </w:rPr>
        <w:t>(</w:t>
      </w:r>
      <w:r w:rsidRPr="00BE1AA4">
        <w:rPr>
          <w:rFonts w:ascii="Arial" w:eastAsia="Times New Roman" w:hAnsi="Arial" w:cs="Arial"/>
          <w:b/>
          <w:bCs/>
          <w:sz w:val="24"/>
          <w:szCs w:val="24"/>
          <w:lang w:eastAsia="it-IT"/>
        </w:rPr>
        <w:t>UE</w:t>
      </w:r>
      <w:r w:rsidR="00464DCB">
        <w:rPr>
          <w:rFonts w:ascii="Arial" w:eastAsia="Times New Roman" w:hAnsi="Arial" w:cs="Arial"/>
          <w:b/>
          <w:bCs/>
          <w:sz w:val="24"/>
          <w:szCs w:val="24"/>
          <w:lang w:eastAsia="it-IT"/>
        </w:rPr>
        <w:t>)</w:t>
      </w:r>
      <w:r w:rsidRPr="00BE1AA4">
        <w:rPr>
          <w:rFonts w:ascii="Arial" w:eastAsia="Times New Roman" w:hAnsi="Arial" w:cs="Arial"/>
          <w:b/>
          <w:bCs/>
          <w:sz w:val="24"/>
          <w:szCs w:val="24"/>
          <w:lang w:eastAsia="it-IT"/>
        </w:rPr>
        <w:t xml:space="preserve"> 2023/970</w:t>
      </w:r>
      <w:r w:rsidRPr="00BE1AA4">
        <w:rPr>
          <w:rFonts w:ascii="Arial" w:eastAsia="Times New Roman" w:hAnsi="Arial" w:cs="Arial"/>
          <w:sz w:val="24"/>
          <w:szCs w:val="24"/>
          <w:lang w:eastAsia="it-IT"/>
        </w:rPr>
        <w:t>, finalizzata a rafforzare il principio della parità di retribuzione tra uomini e donne e a introdurre maggiori obblighi di trasparenza nelle fasi di selezione, gestione del rapporto di lavoro e monitoraggio dei trattamenti retributivi.</w:t>
      </w:r>
    </w:p>
    <w:p w14:paraId="6AEA2B13" w14:textId="77777777" w:rsidR="00BE1AA4" w:rsidRPr="00BE1AA4" w:rsidRDefault="00BE1AA4" w:rsidP="00BE1AA4">
      <w:pPr>
        <w:ind w:left="0"/>
        <w:rPr>
          <w:rFonts w:ascii="Arial" w:eastAsia="Times New Roman" w:hAnsi="Arial" w:cs="Arial"/>
          <w:sz w:val="24"/>
          <w:szCs w:val="24"/>
          <w:lang w:eastAsia="it-IT"/>
        </w:rPr>
      </w:pPr>
    </w:p>
    <w:p w14:paraId="49B6463E" w14:textId="3B41A75C" w:rsidR="00BE1AA4" w:rsidRDefault="00BE1AA4" w:rsidP="00BE1AA4">
      <w:pPr>
        <w:ind w:left="0"/>
        <w:rPr>
          <w:rFonts w:ascii="Arial" w:eastAsia="Times New Roman" w:hAnsi="Arial" w:cs="Arial"/>
          <w:sz w:val="24"/>
          <w:szCs w:val="24"/>
          <w:lang w:eastAsia="it-IT"/>
        </w:rPr>
      </w:pPr>
      <w:r w:rsidRPr="00BE1AA4">
        <w:rPr>
          <w:rFonts w:ascii="Arial" w:eastAsia="Times New Roman" w:hAnsi="Arial" w:cs="Arial"/>
          <w:sz w:val="24"/>
          <w:szCs w:val="24"/>
          <w:lang w:eastAsia="it-IT"/>
        </w:rPr>
        <w:t>La circolare illustra</w:t>
      </w:r>
      <w:r>
        <w:rPr>
          <w:rFonts w:ascii="Arial" w:eastAsia="Times New Roman" w:hAnsi="Arial" w:cs="Arial"/>
          <w:sz w:val="24"/>
          <w:szCs w:val="24"/>
          <w:lang w:eastAsia="it-IT"/>
        </w:rPr>
        <w:t>,</w:t>
      </w:r>
      <w:r w:rsidRPr="00BE1AA4">
        <w:rPr>
          <w:rFonts w:ascii="Arial" w:eastAsia="Times New Roman" w:hAnsi="Arial" w:cs="Arial"/>
          <w:sz w:val="24"/>
          <w:szCs w:val="24"/>
          <w:lang w:eastAsia="it-IT"/>
        </w:rPr>
        <w:t xml:space="preserve"> inoltre</w:t>
      </w:r>
      <w:r>
        <w:rPr>
          <w:rFonts w:ascii="Arial" w:eastAsia="Times New Roman" w:hAnsi="Arial" w:cs="Arial"/>
          <w:sz w:val="24"/>
          <w:szCs w:val="24"/>
          <w:lang w:eastAsia="it-IT"/>
        </w:rPr>
        <w:t>,</w:t>
      </w:r>
      <w:r w:rsidRPr="00BE1AA4">
        <w:rPr>
          <w:rFonts w:ascii="Arial" w:eastAsia="Times New Roman" w:hAnsi="Arial" w:cs="Arial"/>
          <w:sz w:val="24"/>
          <w:szCs w:val="24"/>
          <w:lang w:eastAsia="it-IT"/>
        </w:rPr>
        <w:t xml:space="preserve"> le principali disposizioni del </w:t>
      </w:r>
      <w:r w:rsidRPr="00BE1AA4">
        <w:rPr>
          <w:rFonts w:ascii="Arial" w:eastAsia="Times New Roman" w:hAnsi="Arial" w:cs="Arial"/>
          <w:b/>
          <w:bCs/>
          <w:sz w:val="24"/>
          <w:szCs w:val="24"/>
          <w:lang w:eastAsia="it-IT"/>
        </w:rPr>
        <w:t>D.L. n. 62/2026</w:t>
      </w:r>
      <w:r w:rsidRPr="00BE1AA4">
        <w:rPr>
          <w:rFonts w:ascii="Arial" w:eastAsia="Times New Roman" w:hAnsi="Arial" w:cs="Arial"/>
          <w:sz w:val="24"/>
          <w:szCs w:val="24"/>
          <w:lang w:eastAsia="it-IT"/>
        </w:rPr>
        <w:t>, con particolare riguardo agli incentivi all’occupazione, alla disciplina del salario giusto, alle misure di contrasto al caporalato digitale e alla disposizione transitoria relativa al versamento al Fondo di Tesoreria INPS.</w:t>
      </w:r>
    </w:p>
    <w:p w14:paraId="323BFA36" w14:textId="77777777" w:rsidR="00BE1AA4" w:rsidRPr="00BE1AA4" w:rsidRDefault="00BE1AA4" w:rsidP="00BE1AA4">
      <w:pPr>
        <w:ind w:left="0"/>
        <w:rPr>
          <w:rFonts w:ascii="Arial" w:eastAsia="Times New Roman" w:hAnsi="Arial" w:cs="Arial"/>
          <w:sz w:val="24"/>
          <w:szCs w:val="24"/>
          <w:lang w:eastAsia="it-IT"/>
        </w:rPr>
      </w:pPr>
    </w:p>
    <w:p w14:paraId="6915089E" w14:textId="31CCC75F" w:rsidR="00BE1AA4" w:rsidRPr="00BE1AA4" w:rsidRDefault="00BE1AA4" w:rsidP="00BE1AA4">
      <w:pPr>
        <w:ind w:left="0"/>
        <w:rPr>
          <w:rFonts w:ascii="Arial" w:eastAsia="Times New Roman" w:hAnsi="Arial" w:cs="Arial"/>
          <w:sz w:val="24"/>
          <w:szCs w:val="24"/>
          <w:lang w:eastAsia="it-IT"/>
        </w:rPr>
      </w:pPr>
      <w:r w:rsidRPr="00BE1AA4">
        <w:rPr>
          <w:rFonts w:ascii="Arial" w:eastAsia="Times New Roman" w:hAnsi="Arial" w:cs="Arial"/>
          <w:sz w:val="24"/>
          <w:szCs w:val="24"/>
          <w:lang w:eastAsia="it-IT"/>
        </w:rPr>
        <w:t>L’obiettivo è fornire un primo quadro di sintesi delle novità di maggiore rilievo, evidenziando gli aspetti che richiedono attenzione operativa da parte delle aziende.</w:t>
      </w:r>
    </w:p>
    <w:p w14:paraId="66CCE66E" w14:textId="77777777" w:rsidR="00BE1AA4" w:rsidRDefault="00BE1AA4" w:rsidP="00BE1AA4">
      <w:pPr>
        <w:pStyle w:val="Paragrafoelenco"/>
        <w:rPr>
          <w:rFonts w:ascii="Arial" w:eastAsia="Times New Roman" w:hAnsi="Arial" w:cs="Arial"/>
          <w:b/>
          <w:bCs/>
          <w:color w:val="0070C0"/>
          <w:sz w:val="24"/>
          <w:szCs w:val="24"/>
          <w:u w:val="single"/>
          <w:lang w:eastAsia="it-IT"/>
        </w:rPr>
      </w:pPr>
    </w:p>
    <w:p w14:paraId="4009B69F" w14:textId="25B7A08F" w:rsidR="00F11C81" w:rsidRPr="00F356B6" w:rsidRDefault="00F11C81" w:rsidP="00F356B6">
      <w:pPr>
        <w:pStyle w:val="Paragrafoelenco"/>
        <w:numPr>
          <w:ilvl w:val="0"/>
          <w:numId w:val="36"/>
        </w:numPr>
        <w:rPr>
          <w:rFonts w:ascii="Arial" w:eastAsia="Times New Roman" w:hAnsi="Arial" w:cs="Arial"/>
          <w:b/>
          <w:bCs/>
          <w:color w:val="0070C0"/>
          <w:sz w:val="24"/>
          <w:szCs w:val="24"/>
          <w:u w:val="single"/>
          <w:lang w:eastAsia="it-IT"/>
        </w:rPr>
      </w:pPr>
      <w:r w:rsidRPr="00F356B6">
        <w:rPr>
          <w:rFonts w:ascii="Arial" w:eastAsia="Times New Roman" w:hAnsi="Arial" w:cs="Arial"/>
          <w:b/>
          <w:bCs/>
          <w:color w:val="0070C0"/>
          <w:sz w:val="24"/>
          <w:szCs w:val="24"/>
          <w:u w:val="single"/>
          <w:lang w:eastAsia="it-IT"/>
        </w:rPr>
        <w:t xml:space="preserve">IMMINENTE ENTRATA IN VIGORE </w:t>
      </w:r>
      <w:r w:rsidR="009A5DB2">
        <w:rPr>
          <w:rFonts w:ascii="Arial" w:eastAsia="Times New Roman" w:hAnsi="Arial" w:cs="Arial"/>
          <w:b/>
          <w:bCs/>
          <w:color w:val="0070C0"/>
          <w:sz w:val="24"/>
          <w:szCs w:val="24"/>
          <w:u w:val="single"/>
          <w:lang w:eastAsia="it-IT"/>
        </w:rPr>
        <w:t xml:space="preserve">DEL </w:t>
      </w:r>
      <w:r w:rsidRPr="00F356B6">
        <w:rPr>
          <w:rFonts w:ascii="Arial" w:eastAsia="Times New Roman" w:hAnsi="Arial" w:cs="Arial"/>
          <w:b/>
          <w:bCs/>
          <w:color w:val="0070C0"/>
          <w:sz w:val="24"/>
          <w:szCs w:val="24"/>
          <w:u w:val="single"/>
          <w:lang w:eastAsia="it-IT"/>
        </w:rPr>
        <w:t>DECRETO</w:t>
      </w:r>
      <w:r w:rsidR="0055339D">
        <w:rPr>
          <w:rFonts w:ascii="Arial" w:eastAsia="Times New Roman" w:hAnsi="Arial" w:cs="Arial"/>
          <w:b/>
          <w:bCs/>
          <w:color w:val="0070C0"/>
          <w:sz w:val="24"/>
          <w:szCs w:val="24"/>
          <w:u w:val="single"/>
          <w:lang w:eastAsia="it-IT"/>
        </w:rPr>
        <w:t xml:space="preserve">SULLA </w:t>
      </w:r>
      <w:r w:rsidRPr="00F356B6">
        <w:rPr>
          <w:rFonts w:ascii="Arial" w:eastAsia="Times New Roman" w:hAnsi="Arial" w:cs="Arial"/>
          <w:b/>
          <w:bCs/>
          <w:color w:val="0070C0"/>
          <w:sz w:val="24"/>
          <w:szCs w:val="24"/>
          <w:u w:val="single"/>
          <w:lang w:eastAsia="it-IT"/>
        </w:rPr>
        <w:t xml:space="preserve">TRASPARENZA RETRIBUTIVA (Direttiva </w:t>
      </w:r>
      <w:r w:rsidR="00464DCB">
        <w:rPr>
          <w:rFonts w:ascii="Arial" w:eastAsia="Times New Roman" w:hAnsi="Arial" w:cs="Arial"/>
          <w:b/>
          <w:bCs/>
          <w:color w:val="0070C0"/>
          <w:sz w:val="24"/>
          <w:szCs w:val="24"/>
          <w:u w:val="single"/>
          <w:lang w:eastAsia="it-IT"/>
        </w:rPr>
        <w:t>(</w:t>
      </w:r>
      <w:r w:rsidRPr="00F356B6">
        <w:rPr>
          <w:rFonts w:ascii="Arial" w:eastAsia="Times New Roman" w:hAnsi="Arial" w:cs="Arial"/>
          <w:b/>
          <w:bCs/>
          <w:color w:val="0070C0"/>
          <w:sz w:val="24"/>
          <w:szCs w:val="24"/>
          <w:u w:val="single"/>
          <w:lang w:eastAsia="it-IT"/>
        </w:rPr>
        <w:t>UE</w:t>
      </w:r>
      <w:r w:rsidR="00464DCB">
        <w:rPr>
          <w:rFonts w:ascii="Arial" w:eastAsia="Times New Roman" w:hAnsi="Arial" w:cs="Arial"/>
          <w:b/>
          <w:bCs/>
          <w:color w:val="0070C0"/>
          <w:sz w:val="24"/>
          <w:szCs w:val="24"/>
          <w:u w:val="single"/>
          <w:lang w:eastAsia="it-IT"/>
        </w:rPr>
        <w:t>)</w:t>
      </w:r>
      <w:r w:rsidRPr="00F356B6">
        <w:rPr>
          <w:rFonts w:ascii="Arial" w:eastAsia="Times New Roman" w:hAnsi="Arial" w:cs="Arial"/>
          <w:b/>
          <w:bCs/>
          <w:color w:val="0070C0"/>
          <w:sz w:val="24"/>
          <w:szCs w:val="24"/>
          <w:u w:val="single"/>
          <w:lang w:eastAsia="it-IT"/>
        </w:rPr>
        <w:t xml:space="preserve"> 2023/970)</w:t>
      </w:r>
    </w:p>
    <w:p w14:paraId="00F0AB75" w14:textId="77777777" w:rsidR="00F11C81" w:rsidRPr="007C10B3" w:rsidRDefault="00F11C81" w:rsidP="00F11C81">
      <w:pPr>
        <w:ind w:left="0"/>
        <w:jc w:val="left"/>
        <w:rPr>
          <w:rFonts w:ascii="Arial" w:eastAsia="Times New Roman" w:hAnsi="Arial" w:cs="Arial"/>
          <w:sz w:val="24"/>
          <w:szCs w:val="24"/>
          <w:lang w:eastAsia="it-IT"/>
        </w:rPr>
      </w:pPr>
    </w:p>
    <w:p w14:paraId="1B38893C" w14:textId="7B034556" w:rsidR="007C10B3" w:rsidRPr="007C10B3" w:rsidRDefault="00F11C81" w:rsidP="00F11C81">
      <w:pPr>
        <w:ind w:left="0"/>
        <w:rPr>
          <w:rFonts w:ascii="Arial" w:eastAsia="Times New Roman" w:hAnsi="Arial" w:cs="Arial"/>
          <w:sz w:val="24"/>
          <w:szCs w:val="24"/>
          <w:lang w:eastAsia="it-IT"/>
        </w:rPr>
      </w:pPr>
      <w:r>
        <w:rPr>
          <w:rFonts w:ascii="Arial" w:eastAsia="Times New Roman" w:hAnsi="Arial" w:cs="Arial"/>
          <w:sz w:val="24"/>
          <w:szCs w:val="24"/>
          <w:lang w:eastAsia="it-IT"/>
        </w:rPr>
        <w:t>D</w:t>
      </w:r>
      <w:r w:rsidR="007C10B3" w:rsidRPr="007C10B3">
        <w:rPr>
          <w:rFonts w:ascii="Arial" w:eastAsia="Times New Roman" w:hAnsi="Arial" w:cs="Arial"/>
          <w:sz w:val="24"/>
          <w:szCs w:val="24"/>
          <w:lang w:eastAsia="it-IT"/>
        </w:rPr>
        <w:t xml:space="preserve">al </w:t>
      </w:r>
      <w:r w:rsidR="007C10B3" w:rsidRPr="007C10B3">
        <w:rPr>
          <w:rFonts w:ascii="Arial" w:eastAsia="Times New Roman" w:hAnsi="Arial" w:cs="Arial"/>
          <w:b/>
          <w:bCs/>
          <w:sz w:val="24"/>
          <w:szCs w:val="24"/>
          <w:lang w:eastAsia="it-IT"/>
        </w:rPr>
        <w:t>7 giugno 2026</w:t>
      </w:r>
      <w:r w:rsidR="007C10B3" w:rsidRPr="007C10B3">
        <w:rPr>
          <w:rFonts w:ascii="Arial" w:eastAsia="Times New Roman" w:hAnsi="Arial" w:cs="Arial"/>
          <w:sz w:val="24"/>
          <w:szCs w:val="24"/>
          <w:lang w:eastAsia="it-IT"/>
        </w:rPr>
        <w:t xml:space="preserve"> entrerà in vigore il nuovo </w:t>
      </w:r>
      <w:r w:rsidR="00464DCB">
        <w:rPr>
          <w:rFonts w:ascii="Arial" w:eastAsia="Times New Roman" w:hAnsi="Arial" w:cs="Arial"/>
          <w:sz w:val="24"/>
          <w:szCs w:val="24"/>
          <w:lang w:eastAsia="it-IT"/>
        </w:rPr>
        <w:t>d</w:t>
      </w:r>
      <w:r w:rsidR="007C10B3" w:rsidRPr="007C10B3">
        <w:rPr>
          <w:rFonts w:ascii="Arial" w:eastAsia="Times New Roman" w:hAnsi="Arial" w:cs="Arial"/>
          <w:sz w:val="24"/>
          <w:szCs w:val="24"/>
          <w:lang w:eastAsia="it-IT"/>
        </w:rPr>
        <w:t xml:space="preserve">ecreto </w:t>
      </w:r>
      <w:r w:rsidR="00464DCB">
        <w:rPr>
          <w:rFonts w:ascii="Arial" w:eastAsia="Times New Roman" w:hAnsi="Arial" w:cs="Arial"/>
          <w:sz w:val="24"/>
          <w:szCs w:val="24"/>
          <w:lang w:eastAsia="it-IT"/>
        </w:rPr>
        <w:t>l</w:t>
      </w:r>
      <w:r w:rsidR="007C10B3" w:rsidRPr="007C10B3">
        <w:rPr>
          <w:rFonts w:ascii="Arial" w:eastAsia="Times New Roman" w:hAnsi="Arial" w:cs="Arial"/>
          <w:sz w:val="24"/>
          <w:szCs w:val="24"/>
          <w:lang w:eastAsia="it-IT"/>
        </w:rPr>
        <w:t>egislativo</w:t>
      </w:r>
      <w:r w:rsidR="00D87BA4">
        <w:rPr>
          <w:rFonts w:ascii="Arial" w:eastAsia="Times New Roman" w:hAnsi="Arial" w:cs="Arial"/>
          <w:sz w:val="24"/>
          <w:szCs w:val="24"/>
          <w:lang w:eastAsia="it-IT"/>
        </w:rPr>
        <w:t>,</w:t>
      </w:r>
      <w:r w:rsidR="007C10B3" w:rsidRPr="007C10B3">
        <w:rPr>
          <w:rFonts w:ascii="Arial" w:eastAsia="Times New Roman" w:hAnsi="Arial" w:cs="Arial"/>
          <w:sz w:val="24"/>
          <w:szCs w:val="24"/>
          <w:lang w:eastAsia="it-IT"/>
        </w:rPr>
        <w:t xml:space="preserve"> </w:t>
      </w:r>
      <w:r w:rsidR="00D87BA4" w:rsidRPr="00D87BA4">
        <w:rPr>
          <w:rFonts w:ascii="Arial" w:eastAsia="Times New Roman" w:hAnsi="Arial" w:cs="Arial"/>
          <w:sz w:val="24"/>
          <w:szCs w:val="24"/>
          <w:lang w:eastAsia="it-IT"/>
        </w:rPr>
        <w:t>approvato </w:t>
      </w:r>
      <w:r w:rsidR="00E03A09">
        <w:rPr>
          <w:rFonts w:ascii="Arial" w:eastAsia="Times New Roman" w:hAnsi="Arial" w:cs="Arial"/>
          <w:sz w:val="24"/>
          <w:szCs w:val="24"/>
          <w:lang w:eastAsia="it-IT"/>
        </w:rPr>
        <w:t xml:space="preserve">in esame </w:t>
      </w:r>
      <w:r w:rsidR="00EB6DD6">
        <w:rPr>
          <w:rFonts w:ascii="Arial" w:eastAsia="Times New Roman" w:hAnsi="Arial" w:cs="Arial"/>
          <w:sz w:val="24"/>
          <w:szCs w:val="24"/>
          <w:lang w:eastAsia="it-IT"/>
        </w:rPr>
        <w:t xml:space="preserve">definitivo </w:t>
      </w:r>
      <w:r w:rsidR="00D87BA4" w:rsidRPr="00D87BA4">
        <w:rPr>
          <w:rFonts w:ascii="Arial" w:eastAsia="Times New Roman" w:hAnsi="Arial" w:cs="Arial"/>
          <w:sz w:val="24"/>
          <w:szCs w:val="24"/>
          <w:lang w:eastAsia="it-IT"/>
        </w:rPr>
        <w:t>dal Consiglio dei ministri il 30 aprile 2026,</w:t>
      </w:r>
      <w:r w:rsidR="00D87BA4">
        <w:rPr>
          <w:rFonts w:ascii="Arial" w:eastAsia="Times New Roman" w:hAnsi="Arial" w:cs="Arial"/>
          <w:sz w:val="24"/>
          <w:szCs w:val="24"/>
          <w:lang w:eastAsia="it-IT"/>
        </w:rPr>
        <w:t xml:space="preserve"> </w:t>
      </w:r>
      <w:r w:rsidR="007C10B3" w:rsidRPr="007C10B3">
        <w:rPr>
          <w:rFonts w:ascii="Arial" w:eastAsia="Times New Roman" w:hAnsi="Arial" w:cs="Arial"/>
          <w:sz w:val="24"/>
          <w:szCs w:val="24"/>
          <w:lang w:eastAsia="it-IT"/>
        </w:rPr>
        <w:t xml:space="preserve">che recepisce la Direttiva UE sulla parità e la trasparenza retributiva. L'obiettivo principale è garantire la parità di retribuzione a parità di lavoro e assicurare una maggiore trasparenza nelle politiche aziendali. </w:t>
      </w:r>
    </w:p>
    <w:p w14:paraId="32DA142B" w14:textId="3108F524" w:rsidR="00DF181F" w:rsidRDefault="007C10B3" w:rsidP="00DF181F">
      <w:pPr>
        <w:ind w:left="0"/>
        <w:rPr>
          <w:rFonts w:ascii="Arial" w:eastAsia="Times New Roman" w:hAnsi="Arial" w:cs="Arial"/>
          <w:sz w:val="24"/>
          <w:szCs w:val="24"/>
          <w:lang w:eastAsia="it-IT"/>
        </w:rPr>
      </w:pPr>
      <w:r w:rsidRPr="007C10B3">
        <w:rPr>
          <w:rFonts w:ascii="Arial" w:eastAsia="Times New Roman" w:hAnsi="Arial" w:cs="Arial"/>
          <w:sz w:val="24"/>
          <w:szCs w:val="24"/>
          <w:lang w:eastAsia="it-IT"/>
        </w:rPr>
        <w:t xml:space="preserve">Di seguito </w:t>
      </w:r>
      <w:r w:rsidR="003C5F96">
        <w:rPr>
          <w:rFonts w:ascii="Arial" w:eastAsia="Times New Roman" w:hAnsi="Arial" w:cs="Arial"/>
          <w:sz w:val="24"/>
          <w:szCs w:val="24"/>
          <w:lang w:eastAsia="it-IT"/>
        </w:rPr>
        <w:t>si riepilogano</w:t>
      </w:r>
      <w:r w:rsidRPr="007C10B3">
        <w:rPr>
          <w:rFonts w:ascii="Arial" w:eastAsia="Times New Roman" w:hAnsi="Arial" w:cs="Arial"/>
          <w:sz w:val="24"/>
          <w:szCs w:val="24"/>
          <w:lang w:eastAsia="it-IT"/>
        </w:rPr>
        <w:t xml:space="preserve"> le novità principali e gli adempimenti che interessano l</w:t>
      </w:r>
      <w:r w:rsidR="0072167C">
        <w:rPr>
          <w:rFonts w:ascii="Arial" w:eastAsia="Times New Roman" w:hAnsi="Arial" w:cs="Arial"/>
          <w:sz w:val="24"/>
          <w:szCs w:val="24"/>
          <w:lang w:eastAsia="it-IT"/>
        </w:rPr>
        <w:t>e</w:t>
      </w:r>
      <w:r w:rsidRPr="007C10B3">
        <w:rPr>
          <w:rFonts w:ascii="Arial" w:eastAsia="Times New Roman" w:hAnsi="Arial" w:cs="Arial"/>
          <w:sz w:val="24"/>
          <w:szCs w:val="24"/>
          <w:lang w:eastAsia="it-IT"/>
        </w:rPr>
        <w:t xml:space="preserve"> aziend</w:t>
      </w:r>
      <w:r w:rsidR="0072167C">
        <w:rPr>
          <w:rFonts w:ascii="Arial" w:eastAsia="Times New Roman" w:hAnsi="Arial" w:cs="Arial"/>
          <w:sz w:val="24"/>
          <w:szCs w:val="24"/>
          <w:lang w:eastAsia="it-IT"/>
        </w:rPr>
        <w:t>e</w:t>
      </w:r>
      <w:r w:rsidRPr="007C10B3">
        <w:rPr>
          <w:rFonts w:ascii="Arial" w:eastAsia="Times New Roman" w:hAnsi="Arial" w:cs="Arial"/>
          <w:sz w:val="24"/>
          <w:szCs w:val="24"/>
          <w:lang w:eastAsia="it-IT"/>
        </w:rPr>
        <w:t>:</w:t>
      </w:r>
    </w:p>
    <w:p w14:paraId="246DAF94" w14:textId="77777777" w:rsidR="00DF181F" w:rsidRDefault="00DF181F" w:rsidP="00DF181F">
      <w:pPr>
        <w:ind w:left="0"/>
        <w:rPr>
          <w:rFonts w:ascii="Arial" w:eastAsia="Times New Roman" w:hAnsi="Arial" w:cs="Arial"/>
          <w:sz w:val="24"/>
          <w:szCs w:val="24"/>
          <w:lang w:eastAsia="it-IT"/>
        </w:rPr>
      </w:pPr>
    </w:p>
    <w:p w14:paraId="01C39F32" w14:textId="734475F2" w:rsidR="007C10B3" w:rsidRPr="00595DA3" w:rsidRDefault="007C10B3" w:rsidP="00595DA3">
      <w:pPr>
        <w:ind w:left="0"/>
        <w:rPr>
          <w:rFonts w:ascii="Arial" w:eastAsia="Times New Roman" w:hAnsi="Arial" w:cs="Arial"/>
          <w:b/>
          <w:bCs/>
          <w:color w:val="0070C0"/>
          <w:spacing w:val="7"/>
          <w:sz w:val="24"/>
          <w:szCs w:val="24"/>
          <w:lang w:eastAsia="it-IT"/>
        </w:rPr>
      </w:pPr>
      <w:r w:rsidRPr="00595DA3">
        <w:rPr>
          <w:rFonts w:ascii="Arial" w:eastAsia="Times New Roman" w:hAnsi="Arial" w:cs="Arial"/>
          <w:b/>
          <w:bCs/>
          <w:color w:val="0070C0"/>
          <w:spacing w:val="7"/>
          <w:sz w:val="24"/>
          <w:szCs w:val="24"/>
          <w:lang w:eastAsia="it-IT"/>
        </w:rPr>
        <w:t>Fase di Selezione e Assunzione</w:t>
      </w:r>
    </w:p>
    <w:p w14:paraId="3F7A5924" w14:textId="77777777" w:rsidR="00595DA3" w:rsidRPr="00595DA3" w:rsidRDefault="00595DA3" w:rsidP="00595DA3">
      <w:pPr>
        <w:ind w:left="0"/>
        <w:rPr>
          <w:rFonts w:ascii="Arial" w:eastAsia="Times New Roman" w:hAnsi="Arial" w:cs="Arial"/>
          <w:sz w:val="24"/>
          <w:szCs w:val="24"/>
          <w:lang w:eastAsia="it-IT"/>
        </w:rPr>
      </w:pPr>
    </w:p>
    <w:p w14:paraId="48BEEF05" w14:textId="77777777" w:rsidR="007C10B3" w:rsidRDefault="007C10B3" w:rsidP="00595DA3">
      <w:pPr>
        <w:ind w:left="0"/>
        <w:rPr>
          <w:rFonts w:ascii="Arial" w:eastAsia="Times New Roman" w:hAnsi="Arial" w:cs="Arial"/>
          <w:sz w:val="24"/>
          <w:szCs w:val="24"/>
          <w:lang w:eastAsia="it-IT"/>
        </w:rPr>
      </w:pPr>
      <w:r w:rsidRPr="00B504ED">
        <w:rPr>
          <w:rFonts w:ascii="Arial" w:eastAsia="Times New Roman" w:hAnsi="Arial" w:cs="Arial"/>
          <w:b/>
          <w:bCs/>
          <w:sz w:val="24"/>
          <w:szCs w:val="24"/>
          <w:lang w:eastAsia="it-IT"/>
        </w:rPr>
        <w:t>Trasparenza negli annunci:</w:t>
      </w:r>
      <w:r w:rsidRPr="00B504ED">
        <w:rPr>
          <w:rFonts w:ascii="Arial" w:eastAsia="Times New Roman" w:hAnsi="Arial" w:cs="Arial"/>
          <w:sz w:val="24"/>
          <w:szCs w:val="24"/>
          <w:lang w:eastAsia="it-IT"/>
        </w:rPr>
        <w:t xml:space="preserve"> Negli annunci di lavoro e durante i colloqui dovranno essere chiaramente indicate la retribuzione iniziale o la fascia retributiva prevista.</w:t>
      </w:r>
    </w:p>
    <w:p w14:paraId="0019859F" w14:textId="77777777" w:rsidR="00595DA3" w:rsidRPr="00B504ED" w:rsidRDefault="00595DA3" w:rsidP="00595DA3">
      <w:pPr>
        <w:ind w:left="0"/>
        <w:rPr>
          <w:rFonts w:ascii="Arial" w:eastAsia="Times New Roman" w:hAnsi="Arial" w:cs="Arial"/>
          <w:sz w:val="24"/>
          <w:szCs w:val="24"/>
          <w:lang w:eastAsia="it-IT"/>
        </w:rPr>
      </w:pPr>
    </w:p>
    <w:p w14:paraId="5FE472F3" w14:textId="77777777" w:rsidR="007C10B3" w:rsidRDefault="007C10B3" w:rsidP="00595DA3">
      <w:pPr>
        <w:ind w:left="0"/>
        <w:rPr>
          <w:rFonts w:ascii="Arial" w:eastAsia="Times New Roman" w:hAnsi="Arial" w:cs="Arial"/>
          <w:sz w:val="24"/>
          <w:szCs w:val="24"/>
          <w:lang w:eastAsia="it-IT"/>
        </w:rPr>
      </w:pPr>
      <w:r w:rsidRPr="00B504ED">
        <w:rPr>
          <w:rFonts w:ascii="Arial" w:eastAsia="Times New Roman" w:hAnsi="Arial" w:cs="Arial"/>
          <w:b/>
          <w:bCs/>
          <w:sz w:val="24"/>
          <w:szCs w:val="24"/>
          <w:lang w:eastAsia="it-IT"/>
        </w:rPr>
        <w:t>Divieto di indagine:</w:t>
      </w:r>
      <w:r w:rsidRPr="00B504ED">
        <w:rPr>
          <w:rFonts w:ascii="Arial" w:eastAsia="Times New Roman" w:hAnsi="Arial" w:cs="Arial"/>
          <w:sz w:val="24"/>
          <w:szCs w:val="24"/>
          <w:lang w:eastAsia="it-IT"/>
        </w:rPr>
        <w:t xml:space="preserve"> È fatto divieto ai datori di lavoro di chiedere ai candidati informazioni sulle retribuzioni percepite in precedenza.</w:t>
      </w:r>
    </w:p>
    <w:p w14:paraId="0B6B5925" w14:textId="77777777" w:rsidR="00595DA3" w:rsidRPr="00B504ED" w:rsidRDefault="00595DA3" w:rsidP="00595DA3">
      <w:pPr>
        <w:ind w:left="0"/>
        <w:rPr>
          <w:rFonts w:ascii="Arial" w:eastAsia="Times New Roman" w:hAnsi="Arial" w:cs="Arial"/>
          <w:sz w:val="24"/>
          <w:szCs w:val="24"/>
          <w:lang w:eastAsia="it-IT"/>
        </w:rPr>
      </w:pPr>
    </w:p>
    <w:p w14:paraId="2CC3DECD" w14:textId="77777777" w:rsidR="00DF181F" w:rsidRDefault="007C10B3" w:rsidP="00595DA3">
      <w:pPr>
        <w:shd w:val="clear" w:color="auto" w:fill="FFFFFF"/>
        <w:ind w:left="0"/>
        <w:textAlignment w:val="baseline"/>
        <w:rPr>
          <w:rFonts w:ascii="Arial" w:eastAsia="Times New Roman" w:hAnsi="Arial" w:cs="Arial"/>
          <w:sz w:val="24"/>
          <w:szCs w:val="24"/>
          <w:lang w:eastAsia="it-IT"/>
        </w:rPr>
      </w:pPr>
      <w:r w:rsidRPr="00B504ED">
        <w:rPr>
          <w:rFonts w:ascii="Arial" w:eastAsia="Times New Roman" w:hAnsi="Arial" w:cs="Arial"/>
          <w:b/>
          <w:bCs/>
          <w:sz w:val="24"/>
          <w:szCs w:val="24"/>
          <w:lang w:eastAsia="it-IT"/>
        </w:rPr>
        <w:t>Annunci neutrali:</w:t>
      </w:r>
      <w:r w:rsidRPr="00B504ED">
        <w:rPr>
          <w:rFonts w:ascii="Arial" w:eastAsia="Times New Roman" w:hAnsi="Arial" w:cs="Arial"/>
          <w:sz w:val="24"/>
          <w:szCs w:val="24"/>
          <w:lang w:eastAsia="it-IT"/>
        </w:rPr>
        <w:t xml:space="preserve"> Le procedure di selezione dovranno essere condotte con criteri non discriminatori</w:t>
      </w:r>
      <w:r w:rsidR="00C61B15" w:rsidRPr="00B504ED">
        <w:rPr>
          <w:rFonts w:ascii="Arial" w:eastAsia="Times New Roman" w:hAnsi="Arial" w:cs="Arial"/>
          <w:sz w:val="24"/>
          <w:szCs w:val="24"/>
          <w:lang w:eastAsia="it-IT"/>
        </w:rPr>
        <w:t>; avvisi e bandi dovranno essere redatti con modalità neutrali rispetto al genere, anche con riferimento ai titoli professionali richiesti.</w:t>
      </w:r>
    </w:p>
    <w:p w14:paraId="7FC3C0BD" w14:textId="77777777" w:rsidR="00DF181F" w:rsidRPr="00595DA3" w:rsidRDefault="00DF181F" w:rsidP="00DF181F">
      <w:pPr>
        <w:shd w:val="clear" w:color="auto" w:fill="FFFFFF"/>
        <w:ind w:left="720"/>
        <w:textAlignment w:val="baseline"/>
        <w:rPr>
          <w:rFonts w:ascii="Arial" w:eastAsia="Times New Roman" w:hAnsi="Arial" w:cs="Arial"/>
          <w:sz w:val="24"/>
          <w:szCs w:val="24"/>
          <w:lang w:eastAsia="it-IT"/>
        </w:rPr>
      </w:pPr>
    </w:p>
    <w:p w14:paraId="504B1BE4" w14:textId="7147194A" w:rsidR="007C10B3" w:rsidRPr="00595DA3" w:rsidRDefault="007C10B3" w:rsidP="00595DA3">
      <w:pPr>
        <w:shd w:val="clear" w:color="auto" w:fill="FFFFFF"/>
        <w:ind w:left="0"/>
        <w:textAlignment w:val="baseline"/>
        <w:rPr>
          <w:rFonts w:ascii="Arial" w:eastAsia="Times New Roman" w:hAnsi="Arial" w:cs="Arial"/>
          <w:b/>
          <w:bCs/>
          <w:color w:val="0070C0"/>
          <w:sz w:val="24"/>
          <w:szCs w:val="24"/>
          <w:lang w:eastAsia="it-IT"/>
        </w:rPr>
      </w:pPr>
      <w:r w:rsidRPr="00595DA3">
        <w:rPr>
          <w:rFonts w:ascii="Arial" w:eastAsia="Times New Roman" w:hAnsi="Arial" w:cs="Arial"/>
          <w:b/>
          <w:bCs/>
          <w:color w:val="0070C0"/>
          <w:sz w:val="24"/>
          <w:szCs w:val="24"/>
          <w:lang w:eastAsia="it-IT"/>
        </w:rPr>
        <w:t xml:space="preserve">Diritti dei Lavoratori </w:t>
      </w:r>
      <w:r w:rsidR="00C61B15" w:rsidRPr="00595DA3">
        <w:rPr>
          <w:rFonts w:ascii="Arial" w:eastAsia="Times New Roman" w:hAnsi="Arial" w:cs="Arial"/>
          <w:b/>
          <w:bCs/>
          <w:color w:val="0070C0"/>
          <w:sz w:val="24"/>
          <w:szCs w:val="24"/>
          <w:lang w:eastAsia="it-IT"/>
        </w:rPr>
        <w:t>già assunti</w:t>
      </w:r>
    </w:p>
    <w:p w14:paraId="35E685C5" w14:textId="77777777" w:rsidR="00595DA3" w:rsidRPr="00595DA3" w:rsidRDefault="00595DA3" w:rsidP="00595DA3">
      <w:pPr>
        <w:shd w:val="clear" w:color="auto" w:fill="FFFFFF"/>
        <w:ind w:left="0"/>
        <w:textAlignment w:val="baseline"/>
        <w:rPr>
          <w:rFonts w:ascii="Arial" w:eastAsia="Times New Roman" w:hAnsi="Arial" w:cs="Arial"/>
          <w:sz w:val="24"/>
          <w:szCs w:val="24"/>
          <w:lang w:eastAsia="it-IT"/>
        </w:rPr>
      </w:pPr>
    </w:p>
    <w:p w14:paraId="6C79E858" w14:textId="77777777" w:rsidR="007C10B3" w:rsidRDefault="007C10B3" w:rsidP="00595DA3">
      <w:pPr>
        <w:ind w:left="0"/>
        <w:rPr>
          <w:rFonts w:ascii="Arial" w:eastAsia="Times New Roman" w:hAnsi="Arial" w:cs="Arial"/>
          <w:sz w:val="24"/>
          <w:szCs w:val="24"/>
          <w:lang w:eastAsia="it-IT"/>
        </w:rPr>
      </w:pPr>
      <w:r w:rsidRPr="00595DA3">
        <w:rPr>
          <w:rFonts w:ascii="Arial" w:eastAsia="Times New Roman" w:hAnsi="Arial" w:cs="Arial"/>
          <w:b/>
          <w:bCs/>
          <w:sz w:val="24"/>
          <w:szCs w:val="24"/>
          <w:lang w:eastAsia="it-IT"/>
        </w:rPr>
        <w:t>Diritto all'informazione:</w:t>
      </w:r>
      <w:r w:rsidRPr="00595DA3">
        <w:rPr>
          <w:rFonts w:ascii="Arial" w:eastAsia="Times New Roman" w:hAnsi="Arial" w:cs="Arial"/>
          <w:sz w:val="24"/>
          <w:szCs w:val="24"/>
          <w:lang w:eastAsia="it-IT"/>
        </w:rPr>
        <w:t xml:space="preserve"> I dipendenti potranno richiedere</w:t>
      </w:r>
      <w:r w:rsidRPr="007C10B3">
        <w:rPr>
          <w:rFonts w:ascii="Arial" w:eastAsia="Times New Roman" w:hAnsi="Arial" w:cs="Arial"/>
          <w:sz w:val="24"/>
          <w:szCs w:val="24"/>
          <w:lang w:eastAsia="it-IT"/>
        </w:rPr>
        <w:t xml:space="preserve"> per iscritto informazioni sui propri livelli retributivi e sui criteri medi di retribuzione, suddivisi per genere e per categorie di lavoratori.</w:t>
      </w:r>
    </w:p>
    <w:p w14:paraId="1C864860" w14:textId="77777777" w:rsidR="00595DA3" w:rsidRDefault="00595DA3" w:rsidP="00595DA3">
      <w:pPr>
        <w:ind w:left="0"/>
        <w:rPr>
          <w:rFonts w:ascii="Arial" w:eastAsia="Times New Roman" w:hAnsi="Arial" w:cs="Arial"/>
          <w:sz w:val="24"/>
          <w:szCs w:val="24"/>
          <w:lang w:eastAsia="it-IT"/>
        </w:rPr>
      </w:pPr>
    </w:p>
    <w:p w14:paraId="4435C78A" w14:textId="0046C904" w:rsidR="00637124" w:rsidRDefault="007C10B3" w:rsidP="00595DA3">
      <w:pPr>
        <w:ind w:left="0"/>
        <w:rPr>
          <w:rFonts w:ascii="Arial" w:eastAsia="Times New Roman" w:hAnsi="Arial" w:cs="Arial"/>
          <w:sz w:val="24"/>
          <w:szCs w:val="24"/>
          <w:lang w:eastAsia="it-IT"/>
        </w:rPr>
      </w:pPr>
      <w:r w:rsidRPr="00595DA3">
        <w:rPr>
          <w:rFonts w:ascii="Arial" w:eastAsia="Times New Roman" w:hAnsi="Arial" w:cs="Arial"/>
          <w:b/>
          <w:bCs/>
          <w:sz w:val="24"/>
          <w:szCs w:val="24"/>
          <w:lang w:eastAsia="it-IT"/>
        </w:rPr>
        <w:t>Divieto di segreto salariale</w:t>
      </w:r>
      <w:r w:rsidRPr="00EC6FF1">
        <w:rPr>
          <w:rFonts w:ascii="Arial" w:eastAsia="Times New Roman" w:hAnsi="Arial" w:cs="Arial"/>
          <w:b/>
          <w:bCs/>
          <w:lang w:eastAsia="it-IT"/>
        </w:rPr>
        <w:t>:</w:t>
      </w:r>
      <w:r w:rsidRPr="007C10B3">
        <w:rPr>
          <w:rFonts w:ascii="Arial" w:eastAsia="Times New Roman" w:hAnsi="Arial" w:cs="Arial"/>
          <w:sz w:val="24"/>
          <w:szCs w:val="24"/>
          <w:lang w:eastAsia="it-IT"/>
        </w:rPr>
        <w:t xml:space="preserve"> Non potranno essere inserite clausole contrattuali che impediscano ai lavoratori di divulgare il proprio stipendio o di discutere delle retribuzioni. </w:t>
      </w:r>
    </w:p>
    <w:p w14:paraId="1A40271C" w14:textId="709B84A4" w:rsidR="007C10B3" w:rsidRDefault="007C10B3" w:rsidP="00595DA3">
      <w:pPr>
        <w:shd w:val="clear" w:color="auto" w:fill="FFFFFF"/>
        <w:ind w:left="0"/>
        <w:textAlignment w:val="baseline"/>
        <w:rPr>
          <w:rFonts w:ascii="Arial" w:eastAsia="Times New Roman" w:hAnsi="Arial" w:cs="Arial"/>
          <w:b/>
          <w:bCs/>
          <w:color w:val="0070C0"/>
          <w:sz w:val="24"/>
          <w:szCs w:val="24"/>
          <w:lang w:eastAsia="it-IT"/>
        </w:rPr>
      </w:pPr>
      <w:r w:rsidRPr="00595DA3">
        <w:rPr>
          <w:rFonts w:ascii="Arial" w:eastAsia="Times New Roman" w:hAnsi="Arial" w:cs="Arial"/>
          <w:b/>
          <w:bCs/>
          <w:color w:val="0070C0"/>
          <w:sz w:val="24"/>
          <w:szCs w:val="24"/>
          <w:lang w:eastAsia="it-IT"/>
        </w:rPr>
        <w:lastRenderedPageBreak/>
        <w:t>Obblighi di Reporting e Valutazione</w:t>
      </w:r>
    </w:p>
    <w:p w14:paraId="7CF237C5" w14:textId="77777777" w:rsidR="00595DA3" w:rsidRDefault="00595DA3" w:rsidP="00595DA3">
      <w:pPr>
        <w:shd w:val="clear" w:color="auto" w:fill="FFFFFF"/>
        <w:ind w:left="0"/>
        <w:textAlignment w:val="baseline"/>
        <w:rPr>
          <w:rFonts w:ascii="Arial" w:eastAsia="Times New Roman" w:hAnsi="Arial" w:cs="Arial"/>
          <w:b/>
          <w:bCs/>
          <w:color w:val="0070C0"/>
          <w:sz w:val="24"/>
          <w:szCs w:val="24"/>
          <w:lang w:eastAsia="it-IT"/>
        </w:rPr>
      </w:pPr>
    </w:p>
    <w:p w14:paraId="2A292DA6" w14:textId="77777777" w:rsidR="007C10B3" w:rsidRPr="00595DA3" w:rsidRDefault="007C10B3" w:rsidP="00595DA3">
      <w:pPr>
        <w:ind w:left="0"/>
        <w:rPr>
          <w:rFonts w:ascii="Arial" w:eastAsia="Times New Roman" w:hAnsi="Arial" w:cs="Arial"/>
          <w:sz w:val="24"/>
          <w:szCs w:val="24"/>
          <w:lang w:eastAsia="it-IT"/>
        </w:rPr>
      </w:pPr>
      <w:r w:rsidRPr="00595DA3">
        <w:rPr>
          <w:rFonts w:ascii="Arial" w:eastAsia="Times New Roman" w:hAnsi="Arial" w:cs="Arial"/>
          <w:b/>
          <w:bCs/>
          <w:sz w:val="24"/>
          <w:szCs w:val="24"/>
          <w:lang w:eastAsia="it-IT"/>
        </w:rPr>
        <w:t>Monitoraggio del Gender Pay Gap:</w:t>
      </w:r>
      <w:r w:rsidRPr="00595DA3">
        <w:rPr>
          <w:rFonts w:ascii="Arial" w:eastAsia="Times New Roman" w:hAnsi="Arial" w:cs="Arial"/>
          <w:sz w:val="24"/>
          <w:szCs w:val="24"/>
          <w:lang w:eastAsia="it-IT"/>
        </w:rPr>
        <w:t xml:space="preserve"> Le aziende con più di </w:t>
      </w:r>
      <w:proofErr w:type="gramStart"/>
      <w:r w:rsidRPr="00595DA3">
        <w:rPr>
          <w:rFonts w:ascii="Arial" w:eastAsia="Times New Roman" w:hAnsi="Arial" w:cs="Arial"/>
          <w:sz w:val="24"/>
          <w:szCs w:val="24"/>
          <w:lang w:eastAsia="it-IT"/>
        </w:rPr>
        <w:t>100</w:t>
      </w:r>
      <w:proofErr w:type="gramEnd"/>
      <w:r w:rsidRPr="00595DA3">
        <w:rPr>
          <w:rFonts w:ascii="Arial" w:eastAsia="Times New Roman" w:hAnsi="Arial" w:cs="Arial"/>
          <w:sz w:val="24"/>
          <w:szCs w:val="24"/>
          <w:lang w:eastAsia="it-IT"/>
        </w:rPr>
        <w:t xml:space="preserve"> dipendenti saranno tenute a pubblicare regolarmente informazioni sul divario retributivo tra uomini e donne.</w:t>
      </w:r>
    </w:p>
    <w:p w14:paraId="08C8EFEE" w14:textId="77777777" w:rsidR="007C10B3" w:rsidRDefault="007C10B3" w:rsidP="00595DA3">
      <w:pPr>
        <w:ind w:left="0"/>
        <w:rPr>
          <w:rFonts w:ascii="Arial" w:eastAsia="Times New Roman" w:hAnsi="Arial" w:cs="Arial"/>
          <w:sz w:val="24"/>
          <w:szCs w:val="24"/>
          <w:lang w:eastAsia="it-IT"/>
        </w:rPr>
      </w:pPr>
      <w:r w:rsidRPr="00595DA3">
        <w:rPr>
          <w:rFonts w:ascii="Arial" w:eastAsia="Times New Roman" w:hAnsi="Arial" w:cs="Arial"/>
          <w:b/>
          <w:bCs/>
          <w:sz w:val="24"/>
          <w:szCs w:val="24"/>
          <w:lang w:eastAsia="it-IT"/>
        </w:rPr>
        <w:t>Valutazione Congiunta:</w:t>
      </w:r>
      <w:r w:rsidRPr="00595DA3">
        <w:rPr>
          <w:rFonts w:ascii="Arial" w:eastAsia="Times New Roman" w:hAnsi="Arial" w:cs="Arial"/>
          <w:sz w:val="24"/>
          <w:szCs w:val="24"/>
          <w:lang w:eastAsia="it-IT"/>
        </w:rPr>
        <w:t xml:space="preserve"> Se il divario retributivo supera il 5% e non è giustificato da criteri oggettivi legati al merito o all'esperienza, l'azienda sarà tenuta a condurre una valutazione congiunta in collaborazione con</w:t>
      </w:r>
      <w:r w:rsidRPr="007C10B3">
        <w:rPr>
          <w:rFonts w:ascii="Arial" w:eastAsia="Times New Roman" w:hAnsi="Arial" w:cs="Arial"/>
          <w:sz w:val="24"/>
          <w:szCs w:val="24"/>
          <w:lang w:eastAsia="it-IT"/>
        </w:rPr>
        <w:t xml:space="preserve"> i rappresentanti dei lavoratori.</w:t>
      </w:r>
    </w:p>
    <w:p w14:paraId="38F88972" w14:textId="77777777" w:rsidR="001C7D8D" w:rsidRDefault="001C7D8D" w:rsidP="007C10B3">
      <w:pPr>
        <w:ind w:left="0"/>
        <w:jc w:val="left"/>
        <w:rPr>
          <w:rFonts w:ascii="Arial" w:eastAsia="Times New Roman" w:hAnsi="Arial" w:cs="Arial"/>
          <w:b/>
          <w:bCs/>
          <w:color w:val="0070C0"/>
          <w:sz w:val="24"/>
          <w:szCs w:val="24"/>
          <w:lang w:eastAsia="it-IT"/>
        </w:rPr>
      </w:pPr>
    </w:p>
    <w:p w14:paraId="3B2B7D50" w14:textId="48E0FA1E" w:rsidR="007C10B3" w:rsidRDefault="003C5F96" w:rsidP="001C7D8D">
      <w:pPr>
        <w:ind w:left="0"/>
        <w:rPr>
          <w:rFonts w:ascii="Arial" w:eastAsia="Times New Roman" w:hAnsi="Arial" w:cs="Arial"/>
          <w:sz w:val="24"/>
          <w:szCs w:val="24"/>
          <w:lang w:eastAsia="it-IT"/>
        </w:rPr>
      </w:pPr>
      <w:r>
        <w:rPr>
          <w:rFonts w:ascii="Arial" w:eastAsia="Times New Roman" w:hAnsi="Arial" w:cs="Arial"/>
          <w:sz w:val="24"/>
          <w:szCs w:val="24"/>
          <w:lang w:eastAsia="it-IT"/>
        </w:rPr>
        <w:t xml:space="preserve">Si </w:t>
      </w:r>
      <w:r w:rsidR="00CF652A" w:rsidRPr="007C10B3">
        <w:rPr>
          <w:rFonts w:ascii="Arial" w:eastAsia="Times New Roman" w:hAnsi="Arial" w:cs="Arial"/>
          <w:sz w:val="24"/>
          <w:szCs w:val="24"/>
          <w:lang w:eastAsia="it-IT"/>
        </w:rPr>
        <w:t>invitan</w:t>
      </w:r>
      <w:r w:rsidR="00CF652A">
        <w:rPr>
          <w:rFonts w:ascii="Arial" w:eastAsia="Times New Roman" w:hAnsi="Arial" w:cs="Arial"/>
          <w:sz w:val="24"/>
          <w:szCs w:val="24"/>
          <w:lang w:eastAsia="it-IT"/>
        </w:rPr>
        <w:t>o</w:t>
      </w:r>
      <w:r>
        <w:rPr>
          <w:rFonts w:ascii="Arial" w:eastAsia="Times New Roman" w:hAnsi="Arial" w:cs="Arial"/>
          <w:sz w:val="24"/>
          <w:szCs w:val="24"/>
          <w:lang w:eastAsia="it-IT"/>
        </w:rPr>
        <w:t xml:space="preserve"> le </w:t>
      </w:r>
      <w:r w:rsidR="00CF652A">
        <w:rPr>
          <w:rFonts w:ascii="Arial" w:eastAsia="Times New Roman" w:hAnsi="Arial" w:cs="Arial"/>
          <w:sz w:val="24"/>
          <w:szCs w:val="24"/>
          <w:lang w:eastAsia="it-IT"/>
        </w:rPr>
        <w:t>a</w:t>
      </w:r>
      <w:r>
        <w:rPr>
          <w:rFonts w:ascii="Arial" w:eastAsia="Times New Roman" w:hAnsi="Arial" w:cs="Arial"/>
          <w:sz w:val="24"/>
          <w:szCs w:val="24"/>
          <w:lang w:eastAsia="it-IT"/>
        </w:rPr>
        <w:t>ziende</w:t>
      </w:r>
      <w:r w:rsidR="007C10B3" w:rsidRPr="007C10B3">
        <w:rPr>
          <w:rFonts w:ascii="Arial" w:eastAsia="Times New Roman" w:hAnsi="Arial" w:cs="Arial"/>
          <w:sz w:val="24"/>
          <w:szCs w:val="24"/>
          <w:lang w:eastAsia="it-IT"/>
        </w:rPr>
        <w:t xml:space="preserve"> a verificare fin da subito le procedure interne della </w:t>
      </w:r>
      <w:r w:rsidR="009A5DB2">
        <w:rPr>
          <w:rFonts w:ascii="Arial" w:eastAsia="Times New Roman" w:hAnsi="Arial" w:cs="Arial"/>
          <w:sz w:val="24"/>
          <w:szCs w:val="24"/>
          <w:lang w:eastAsia="it-IT"/>
        </w:rPr>
        <w:t xml:space="preserve">propria </w:t>
      </w:r>
      <w:r w:rsidR="007C10B3" w:rsidRPr="007C10B3">
        <w:rPr>
          <w:rFonts w:ascii="Arial" w:eastAsia="Times New Roman" w:hAnsi="Arial" w:cs="Arial"/>
          <w:sz w:val="24"/>
          <w:szCs w:val="24"/>
          <w:lang w:eastAsia="it-IT"/>
        </w:rPr>
        <w:t>organizzazione. In particolare, sarà necessario:</w:t>
      </w:r>
    </w:p>
    <w:p w14:paraId="52D354A6" w14:textId="77777777" w:rsidR="001C7D8D" w:rsidRPr="007C10B3" w:rsidRDefault="001C7D8D" w:rsidP="001C7D8D">
      <w:pPr>
        <w:ind w:left="0"/>
        <w:rPr>
          <w:rFonts w:ascii="Arial" w:eastAsia="Times New Roman" w:hAnsi="Arial" w:cs="Arial"/>
          <w:sz w:val="24"/>
          <w:szCs w:val="24"/>
          <w:lang w:eastAsia="it-IT"/>
        </w:rPr>
      </w:pPr>
    </w:p>
    <w:p w14:paraId="0E734407" w14:textId="77777777" w:rsidR="007C10B3" w:rsidRPr="007C10B3" w:rsidRDefault="007C10B3" w:rsidP="00FB7856">
      <w:pPr>
        <w:numPr>
          <w:ilvl w:val="0"/>
          <w:numId w:val="16"/>
        </w:numPr>
        <w:jc w:val="left"/>
        <w:rPr>
          <w:rFonts w:ascii="Arial" w:eastAsia="Times New Roman" w:hAnsi="Arial" w:cs="Arial"/>
          <w:sz w:val="24"/>
          <w:szCs w:val="24"/>
          <w:lang w:eastAsia="it-IT"/>
        </w:rPr>
      </w:pPr>
      <w:r w:rsidRPr="007C10B3">
        <w:rPr>
          <w:rFonts w:ascii="Arial" w:eastAsia="Times New Roman" w:hAnsi="Arial" w:cs="Arial"/>
          <w:sz w:val="24"/>
          <w:szCs w:val="24"/>
          <w:lang w:eastAsia="it-IT"/>
        </w:rPr>
        <w:t>Revisionare i testi e i formati degli annunci di lavoro pubblicati.</w:t>
      </w:r>
    </w:p>
    <w:p w14:paraId="77056B79" w14:textId="77777777" w:rsidR="007C10B3" w:rsidRPr="007C10B3" w:rsidRDefault="007C10B3" w:rsidP="00FB7856">
      <w:pPr>
        <w:numPr>
          <w:ilvl w:val="0"/>
          <w:numId w:val="16"/>
        </w:numPr>
        <w:jc w:val="left"/>
        <w:rPr>
          <w:rFonts w:ascii="Arial" w:eastAsia="Times New Roman" w:hAnsi="Arial" w:cs="Arial"/>
          <w:sz w:val="24"/>
          <w:szCs w:val="24"/>
          <w:lang w:eastAsia="it-IT"/>
        </w:rPr>
      </w:pPr>
      <w:r w:rsidRPr="007C10B3">
        <w:rPr>
          <w:rFonts w:ascii="Arial" w:eastAsia="Times New Roman" w:hAnsi="Arial" w:cs="Arial"/>
          <w:sz w:val="24"/>
          <w:szCs w:val="24"/>
          <w:lang w:eastAsia="it-IT"/>
        </w:rPr>
        <w:t>Aggiornare le informative e i contratti standard aziendali.</w:t>
      </w:r>
    </w:p>
    <w:p w14:paraId="25F9043C" w14:textId="54198D19" w:rsidR="007C10B3" w:rsidRDefault="007C10B3" w:rsidP="00FB7856">
      <w:pPr>
        <w:numPr>
          <w:ilvl w:val="0"/>
          <w:numId w:val="16"/>
        </w:numPr>
        <w:jc w:val="left"/>
        <w:rPr>
          <w:rFonts w:ascii="Arial" w:eastAsia="Times New Roman" w:hAnsi="Arial" w:cs="Arial"/>
          <w:sz w:val="24"/>
          <w:szCs w:val="24"/>
          <w:lang w:eastAsia="it-IT"/>
        </w:rPr>
      </w:pPr>
      <w:r w:rsidRPr="007C10B3">
        <w:rPr>
          <w:rFonts w:ascii="Arial" w:eastAsia="Times New Roman" w:hAnsi="Arial" w:cs="Arial"/>
          <w:sz w:val="24"/>
          <w:szCs w:val="24"/>
          <w:lang w:eastAsia="it-IT"/>
        </w:rPr>
        <w:t xml:space="preserve">Predisporre un sistema per l'analisi dei livelli retributivi interni. </w:t>
      </w:r>
    </w:p>
    <w:p w14:paraId="18D5E4ED" w14:textId="77777777" w:rsidR="00113816" w:rsidRPr="007C10B3" w:rsidRDefault="00113816" w:rsidP="00113816">
      <w:pPr>
        <w:ind w:left="720"/>
        <w:jc w:val="left"/>
        <w:rPr>
          <w:rFonts w:ascii="Arial" w:eastAsia="Times New Roman" w:hAnsi="Arial" w:cs="Arial"/>
          <w:sz w:val="24"/>
          <w:szCs w:val="24"/>
          <w:lang w:eastAsia="it-IT"/>
        </w:rPr>
      </w:pPr>
    </w:p>
    <w:p w14:paraId="6019E477" w14:textId="0728F204" w:rsidR="005B753E" w:rsidRPr="00DA06A7" w:rsidRDefault="00C24D25" w:rsidP="005B753E">
      <w:pPr>
        <w:shd w:val="clear" w:color="auto" w:fill="FFFFFF"/>
        <w:spacing w:after="375" w:line="270" w:lineRule="atLeast"/>
        <w:ind w:left="0"/>
        <w:rPr>
          <w:rFonts w:ascii="Arial" w:eastAsia="Times New Roman" w:hAnsi="Arial" w:cs="Arial"/>
          <w:sz w:val="24"/>
          <w:szCs w:val="24"/>
          <w:lang w:eastAsia="it-IT"/>
        </w:rPr>
      </w:pPr>
      <w:r w:rsidRPr="00DA06A7">
        <w:rPr>
          <w:rFonts w:ascii="Arial" w:eastAsia="Times New Roman" w:hAnsi="Arial" w:cs="Arial"/>
          <w:sz w:val="24"/>
          <w:szCs w:val="24"/>
          <w:lang w:eastAsia="it-IT"/>
        </w:rPr>
        <w:t>In questa fase di transizione, lo Studio resta a completa disposizione per ogni ulteriore chiarimento e per fornire il necessario supporto operativo nell’adeguamento alla nuova normativa.</w:t>
      </w:r>
      <w:r w:rsidR="005B753E" w:rsidRPr="00DA06A7">
        <w:rPr>
          <w:rFonts w:ascii="Arial" w:eastAsia="Times New Roman" w:hAnsi="Arial" w:cs="Arial"/>
          <w:sz w:val="24"/>
          <w:szCs w:val="24"/>
          <w:lang w:eastAsia="it-IT"/>
        </w:rPr>
        <w:t xml:space="preserve"> </w:t>
      </w:r>
    </w:p>
    <w:p w14:paraId="4C8FE1C2" w14:textId="5C2AE218" w:rsidR="006F10E1" w:rsidRPr="00F356B6" w:rsidRDefault="00F23168" w:rsidP="00F356B6">
      <w:pPr>
        <w:pStyle w:val="Paragrafoelenco"/>
        <w:numPr>
          <w:ilvl w:val="0"/>
          <w:numId w:val="36"/>
        </w:numPr>
        <w:spacing w:before="100" w:beforeAutospacing="1" w:after="100" w:afterAutospacing="1"/>
        <w:jc w:val="left"/>
        <w:rPr>
          <w:rFonts w:ascii="Arial" w:eastAsia="Times New Roman" w:hAnsi="Arial" w:cs="Arial"/>
          <w:b/>
          <w:bCs/>
          <w:color w:val="0070C0"/>
          <w:sz w:val="24"/>
          <w:szCs w:val="24"/>
          <w:u w:val="single"/>
          <w:lang w:eastAsia="it-IT"/>
        </w:rPr>
      </w:pPr>
      <w:r w:rsidRPr="00F356B6">
        <w:rPr>
          <w:rFonts w:ascii="Arial" w:eastAsia="Times New Roman" w:hAnsi="Arial" w:cs="Arial"/>
          <w:b/>
          <w:bCs/>
          <w:color w:val="0070C0"/>
          <w:sz w:val="24"/>
          <w:szCs w:val="24"/>
          <w:u w:val="single"/>
          <w:lang w:eastAsia="it-IT"/>
        </w:rPr>
        <w:t>NOVITÀ DEL DECRETO LAVORO</w:t>
      </w:r>
    </w:p>
    <w:p w14:paraId="46D4BA19" w14:textId="77777777" w:rsidR="006F10E1" w:rsidRPr="003F5EB9"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In data 30 aprile 2026 è stato pubblicato nella Gazzetta Ufficiale n. 99 il D.L. 30 aprile 2026, n. 62, recante “Disposizioni urgenti in materia di salario giusto, incentivi all’occupazione e contrasto al caporalato digitale”, entrato in vigore il 1° maggio 2026.</w:t>
      </w:r>
    </w:p>
    <w:p w14:paraId="69F43D20" w14:textId="77777777" w:rsidR="006F10E1" w:rsidRPr="003F5EB9"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Il provvedimento introduce numerose misure in materia di incentivi alle assunzioni, disciplina del salario giusto, monitoraggio dei trattamenti retributivi, obblighi informativi relativi ai contratti collettivi applicati, lavoro tramite piattaforme digitali e contrasto ai fenomeni di dumping contrattuale e intermediazione illecita di manodopera.</w:t>
      </w:r>
    </w:p>
    <w:p w14:paraId="59D9F1FB" w14:textId="2B46D97F" w:rsidR="006F10E1" w:rsidRPr="001C7D8D" w:rsidRDefault="007D6B6A" w:rsidP="001C7D8D">
      <w:pPr>
        <w:ind w:left="0"/>
        <w:jc w:val="left"/>
        <w:rPr>
          <w:rFonts w:ascii="Arial" w:eastAsia="Times New Roman" w:hAnsi="Arial" w:cs="Arial"/>
          <w:b/>
          <w:bCs/>
          <w:color w:val="0070C0"/>
          <w:sz w:val="24"/>
          <w:szCs w:val="24"/>
          <w:lang w:eastAsia="it-IT"/>
        </w:rPr>
      </w:pPr>
      <w:r>
        <w:rPr>
          <w:rFonts w:ascii="Arial" w:eastAsia="Times New Roman" w:hAnsi="Arial" w:cs="Arial"/>
          <w:b/>
          <w:bCs/>
          <w:color w:val="0070C0"/>
          <w:sz w:val="24"/>
          <w:szCs w:val="24"/>
          <w:lang w:eastAsia="it-IT"/>
        </w:rPr>
        <w:t xml:space="preserve">B.1 </w:t>
      </w:r>
      <w:r w:rsidR="006F10E1" w:rsidRPr="001C7D8D">
        <w:rPr>
          <w:rFonts w:ascii="Arial" w:eastAsia="Times New Roman" w:hAnsi="Arial" w:cs="Arial"/>
          <w:b/>
          <w:bCs/>
          <w:color w:val="0070C0"/>
          <w:sz w:val="24"/>
          <w:szCs w:val="24"/>
          <w:lang w:eastAsia="it-IT"/>
        </w:rPr>
        <w:t>Incentivi all’occupazione</w:t>
      </w:r>
    </w:p>
    <w:p w14:paraId="3A0C5851" w14:textId="77777777" w:rsidR="00F14F0F" w:rsidRPr="00B504ED" w:rsidRDefault="00F14F0F" w:rsidP="003F5EB9">
      <w:pPr>
        <w:ind w:left="0"/>
        <w:jc w:val="left"/>
        <w:rPr>
          <w:rFonts w:ascii="Arial" w:eastAsia="Times New Roman" w:hAnsi="Arial" w:cs="Arial"/>
          <w:b/>
          <w:bCs/>
          <w:color w:val="0070C0"/>
          <w:sz w:val="24"/>
          <w:szCs w:val="24"/>
          <w:lang w:eastAsia="it-IT"/>
        </w:rPr>
      </w:pPr>
    </w:p>
    <w:p w14:paraId="1924FF9B" w14:textId="77777777" w:rsidR="006F10E1" w:rsidRPr="003F5EB9"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 xml:space="preserve">Con riferimento agli incentivi all’occupazione, l’articolo 1 introduce il cosiddetto </w:t>
      </w:r>
      <w:r w:rsidRPr="00FC141B">
        <w:rPr>
          <w:rFonts w:ascii="Arial" w:eastAsia="Times New Roman" w:hAnsi="Arial" w:cs="Arial"/>
          <w:b/>
          <w:bCs/>
          <w:sz w:val="24"/>
          <w:szCs w:val="24"/>
          <w:lang w:eastAsia="it-IT"/>
        </w:rPr>
        <w:t xml:space="preserve">bonus donne </w:t>
      </w:r>
      <w:r w:rsidRPr="003F5EB9">
        <w:rPr>
          <w:rFonts w:ascii="Arial" w:eastAsia="Times New Roman" w:hAnsi="Arial" w:cs="Arial"/>
          <w:sz w:val="24"/>
          <w:szCs w:val="24"/>
          <w:lang w:eastAsia="it-IT"/>
        </w:rPr>
        <w:t>2026. La misura riconosce ai datori di lavoro privati che effettuano assunzioni a tempo indeterminato nel periodo compreso tra il 1° gennaio 2026 e il 31 dicembre 2026 un esonero pari al 100% dei contributi previdenziali a carico del datore di lavoro, con esclusione dei premi e contributi INAIL, nel limite massimo di 650 euro mensili per ciascuna lavoratrice assunta.</w:t>
      </w:r>
    </w:p>
    <w:p w14:paraId="64D87393" w14:textId="77777777" w:rsidR="00C83730"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L’agevolazione è riconosciuta per un periodo massimo di 24 mesi in favore di donne prive di impiego regolarmente retribuito da almeno 24 mesi, oppure da almeno 12 mesi qualora ricorrano le ulteriori condizioni previste dal Regolamento UE n. 651/2014 in materia di lavoratori svantaggiati. Per le assunzioni effettuate nelle Regioni della ZES unica del Mezzogiorno, il limite massimo dell’agevolazione è elevato a 800 euro mensili.</w:t>
      </w:r>
      <w:r w:rsidR="008723F7" w:rsidRPr="008723F7">
        <w:t xml:space="preserve"> </w:t>
      </w:r>
      <w:r w:rsidR="008723F7" w:rsidRPr="008723F7">
        <w:rPr>
          <w:rFonts w:ascii="Arial" w:eastAsia="Times New Roman" w:hAnsi="Arial" w:cs="Arial"/>
          <w:sz w:val="24"/>
          <w:szCs w:val="24"/>
          <w:lang w:eastAsia="it-IT"/>
        </w:rPr>
        <w:t xml:space="preserve">Il medesimo </w:t>
      </w:r>
      <w:r w:rsidR="008723F7" w:rsidRPr="008723F7">
        <w:rPr>
          <w:rFonts w:ascii="Arial" w:eastAsia="Times New Roman" w:hAnsi="Arial" w:cs="Arial"/>
          <w:sz w:val="24"/>
          <w:szCs w:val="24"/>
          <w:lang w:eastAsia="it-IT"/>
        </w:rPr>
        <w:lastRenderedPageBreak/>
        <w:t xml:space="preserve">esonero è invece riconosciuto per un periodo massimo di </w:t>
      </w:r>
      <w:r w:rsidR="008723F7" w:rsidRPr="00C83730">
        <w:rPr>
          <w:rFonts w:ascii="Arial" w:eastAsia="Times New Roman" w:hAnsi="Arial" w:cs="Arial"/>
          <w:sz w:val="24"/>
          <w:szCs w:val="24"/>
          <w:lang w:eastAsia="it-IT"/>
        </w:rPr>
        <w:t>12 mesi</w:t>
      </w:r>
      <w:r w:rsidR="008723F7" w:rsidRPr="008723F7">
        <w:rPr>
          <w:rFonts w:ascii="Arial" w:eastAsia="Times New Roman" w:hAnsi="Arial" w:cs="Arial"/>
          <w:sz w:val="24"/>
          <w:szCs w:val="24"/>
          <w:lang w:eastAsia="it-IT"/>
        </w:rPr>
        <w:t xml:space="preserve"> per le assunzioni a tempo indeterminato di donne rientranti nelle categorie di lavoratore svantaggiato di cui all’articolo 2 del Regolamento UE n. 651/2014</w:t>
      </w:r>
      <w:r w:rsidR="008723F7">
        <w:rPr>
          <w:rFonts w:ascii="Arial" w:eastAsia="Times New Roman" w:hAnsi="Arial" w:cs="Arial"/>
          <w:sz w:val="24"/>
          <w:szCs w:val="24"/>
          <w:lang w:eastAsia="it-IT"/>
        </w:rPr>
        <w:t>.</w:t>
      </w:r>
    </w:p>
    <w:p w14:paraId="1C1CBC0A" w14:textId="780EA4E2" w:rsidR="006F10E1" w:rsidRPr="003F5EB9"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 xml:space="preserve">La norma subordina il beneficio al rispetto di specifiche condizioni, tra cui l’incremento occupazionale netto, l’osservanza dei principi generali in materia di incentivi di cui all’articolo 31 del </w:t>
      </w:r>
      <w:r w:rsidR="003F5EB9" w:rsidRPr="003F5EB9">
        <w:rPr>
          <w:rFonts w:ascii="Arial" w:eastAsia="Times New Roman" w:hAnsi="Arial" w:cs="Arial"/>
          <w:sz w:val="24"/>
          <w:szCs w:val="24"/>
          <w:lang w:eastAsia="it-IT"/>
        </w:rPr>
        <w:t>D.</w:t>
      </w:r>
      <w:r w:rsidR="00D442DA">
        <w:rPr>
          <w:rFonts w:ascii="Arial" w:eastAsia="Times New Roman" w:hAnsi="Arial" w:cs="Arial"/>
          <w:sz w:val="24"/>
          <w:szCs w:val="24"/>
          <w:lang w:eastAsia="it-IT"/>
        </w:rPr>
        <w:t>L</w:t>
      </w:r>
      <w:r w:rsidR="003F5EB9" w:rsidRPr="003F5EB9">
        <w:rPr>
          <w:rFonts w:ascii="Arial" w:eastAsia="Times New Roman" w:hAnsi="Arial" w:cs="Arial"/>
          <w:sz w:val="24"/>
          <w:szCs w:val="24"/>
          <w:lang w:eastAsia="it-IT"/>
        </w:rPr>
        <w:t>gs.</w:t>
      </w:r>
      <w:r w:rsidRPr="003F5EB9">
        <w:rPr>
          <w:rFonts w:ascii="Arial" w:eastAsia="Times New Roman" w:hAnsi="Arial" w:cs="Arial"/>
          <w:sz w:val="24"/>
          <w:szCs w:val="24"/>
          <w:lang w:eastAsia="it-IT"/>
        </w:rPr>
        <w:t xml:space="preserve"> n. 150/2015 e l’assenza di licenziamenti per motivi economici nei 6 mesi precedenti e successivi all’assunzione incentivata.</w:t>
      </w:r>
    </w:p>
    <w:p w14:paraId="156683C2" w14:textId="2CBD1EFC" w:rsidR="006F10E1" w:rsidRPr="009A0CCB"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 xml:space="preserve">L’articolo 2 disciplina il </w:t>
      </w:r>
      <w:r w:rsidRPr="00FC141B">
        <w:rPr>
          <w:rFonts w:ascii="Arial" w:eastAsia="Times New Roman" w:hAnsi="Arial" w:cs="Arial"/>
          <w:b/>
          <w:bCs/>
          <w:sz w:val="24"/>
          <w:szCs w:val="24"/>
          <w:lang w:eastAsia="it-IT"/>
        </w:rPr>
        <w:t>bonus giovani 2026</w:t>
      </w:r>
      <w:r w:rsidRPr="003F5EB9">
        <w:rPr>
          <w:rFonts w:ascii="Arial" w:eastAsia="Times New Roman" w:hAnsi="Arial" w:cs="Arial"/>
          <w:sz w:val="24"/>
          <w:szCs w:val="24"/>
          <w:lang w:eastAsia="it-IT"/>
        </w:rPr>
        <w:t>, anch’esso strutturato come esonero contributivo totale per le assunzioni a tempo indeterminato di personale non dirigenziale effettuate dal 1° gennaio 2026 al 31 dicembre 2026. L’incentivo riguarda i lavoratori che, alla data dell’assunzione, non abbiano compiuto 35 anni e si trovino in specifiche condizioni di svantaggio occupazionale individuate dalla norma.</w:t>
      </w:r>
      <w:r w:rsidR="009A0CCB">
        <w:rPr>
          <w:rFonts w:ascii="Arial" w:eastAsia="Times New Roman" w:hAnsi="Arial" w:cs="Arial"/>
          <w:sz w:val="24"/>
          <w:szCs w:val="24"/>
          <w:lang w:eastAsia="it-IT"/>
        </w:rPr>
        <w:t>L’esonero</w:t>
      </w:r>
      <w:r w:rsidR="009A0CCB" w:rsidRPr="009A0CCB">
        <w:rPr>
          <w:rFonts w:ascii="Arial" w:eastAsia="Times New Roman" w:hAnsi="Arial" w:cs="Arial"/>
          <w:sz w:val="24"/>
          <w:szCs w:val="24"/>
          <w:lang w:eastAsia="it-IT"/>
        </w:rPr>
        <w:t xml:space="preserve"> non si applica ai rapporti di lavoro domestico e apprendistato</w:t>
      </w:r>
      <w:r w:rsidR="009A0CCB">
        <w:rPr>
          <w:rFonts w:ascii="Arial" w:eastAsia="Times New Roman" w:hAnsi="Arial" w:cs="Arial"/>
          <w:sz w:val="24"/>
          <w:szCs w:val="24"/>
          <w:lang w:eastAsia="it-IT"/>
        </w:rPr>
        <w:t>.</w:t>
      </w:r>
    </w:p>
    <w:p w14:paraId="18D95ED4" w14:textId="77777777" w:rsidR="006F10E1" w:rsidRPr="003F5EB9" w:rsidRDefault="006F10E1" w:rsidP="003F5EB9">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Il limite ordinario dell’agevolazione è pari a 500 euro mensili per ciascun lavoratore, elevato a 650 euro in caso di assunzioni presso sedi o unità produttive ubicate nelle Regioni della ZES unica. Anche per tale misura trovano applicazione le condizioni relative all’incremento occupazionale netto, al rispetto dei principi generali sugli incentivi e alla revoca del beneficio in presenza di licenziamenti economici effettuati nei 6 mesi successivi all’assunzione.</w:t>
      </w:r>
    </w:p>
    <w:p w14:paraId="2BCF4EC2" w14:textId="77777777" w:rsid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3F5EB9">
        <w:rPr>
          <w:rFonts w:ascii="Arial" w:eastAsia="Times New Roman" w:hAnsi="Arial" w:cs="Arial"/>
          <w:sz w:val="24"/>
          <w:szCs w:val="24"/>
          <w:lang w:eastAsia="it-IT"/>
        </w:rPr>
        <w:t>L’articolo 3 introduce il bonus ZES 2026, destinato ai datori di lavoro privati che occupano fino a 10 dipendenti e che assumono a tempo indeterminato personale non dirigenziale presso sedi situate nella ZES unica del Mezzogiorno. L’esonero contributivo è riconosciuto nella misura del 100% dei</w:t>
      </w:r>
      <w:r w:rsidRPr="00B504ED">
        <w:rPr>
          <w:rFonts w:ascii="Arial" w:eastAsia="Times New Roman" w:hAnsi="Arial" w:cs="Arial"/>
          <w:sz w:val="24"/>
          <w:szCs w:val="24"/>
          <w:lang w:eastAsia="it-IT"/>
        </w:rPr>
        <w:t xml:space="preserve"> contributi previdenziali a carico del datore di lavoro, entro il limite massimo di 650 euro mensili per ciascun lavoratore e per un periodo massimo di 24 mesi. La misura si applica alle assunzioni di lavoratori che abbiano compiuto 35 anni e risultino disoccupati da almeno 24 mesi.</w:t>
      </w:r>
    </w:p>
    <w:p w14:paraId="350B03B8" w14:textId="61F887C5" w:rsidR="006F10E1" w:rsidRPr="00921742"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 xml:space="preserve">Particolare rilievo assume anche l’articolo 4, che introduce un </w:t>
      </w:r>
      <w:r w:rsidRPr="009A0CCB">
        <w:rPr>
          <w:rFonts w:ascii="Arial" w:eastAsia="Times New Roman" w:hAnsi="Arial" w:cs="Arial"/>
          <w:b/>
          <w:bCs/>
          <w:sz w:val="24"/>
          <w:szCs w:val="24"/>
          <w:lang w:eastAsia="it-IT"/>
        </w:rPr>
        <w:t>incentivo alla stabilizzazione dei rapporti di lavoro a termine.</w:t>
      </w:r>
      <w:r w:rsidRPr="00B504ED">
        <w:rPr>
          <w:rFonts w:ascii="Arial" w:eastAsia="Times New Roman" w:hAnsi="Arial" w:cs="Arial"/>
          <w:sz w:val="24"/>
          <w:szCs w:val="24"/>
          <w:lang w:eastAsia="it-IT"/>
        </w:rPr>
        <w:t xml:space="preserve"> La disposizione riconosce un esonero contributivo totale, per 24 mesi, ai datori di lavoro che trasformano rapporti a tempo determinato di durata complessiva non superiore a 12 mesi in rapporti a tempo indeterminato.</w:t>
      </w:r>
      <w:r w:rsidR="00921742" w:rsidRPr="00921742">
        <w:rPr>
          <w:rFonts w:ascii="Arial" w:eastAsia="Times New Roman" w:hAnsi="Arial" w:cs="Arial"/>
          <w:sz w:val="24"/>
          <w:szCs w:val="24"/>
          <w:lang w:eastAsia="it-IT"/>
        </w:rPr>
        <w:t xml:space="preserve"> ll limite massimo dell’esonero è pari a 500</w:t>
      </w:r>
      <w:r w:rsidR="00921742" w:rsidRPr="00921742">
        <w:rPr>
          <w:rFonts w:ascii="Arial" w:eastAsia="Times New Roman" w:hAnsi="Arial" w:cs="Arial"/>
          <w:b/>
          <w:bCs/>
          <w:sz w:val="24"/>
          <w:szCs w:val="24"/>
          <w:lang w:eastAsia="it-IT"/>
        </w:rPr>
        <w:t xml:space="preserve"> </w:t>
      </w:r>
      <w:r w:rsidR="00921742" w:rsidRPr="00921742">
        <w:rPr>
          <w:rFonts w:ascii="Arial" w:eastAsia="Times New Roman" w:hAnsi="Arial" w:cs="Arial"/>
          <w:sz w:val="24"/>
          <w:szCs w:val="24"/>
          <w:lang w:eastAsia="it-IT"/>
        </w:rPr>
        <w:t>euro mensili per ciascun lavoratore</w:t>
      </w:r>
      <w:r w:rsidR="00921742" w:rsidRPr="00921742">
        <w:t>.</w:t>
      </w:r>
    </w:p>
    <w:p w14:paraId="029A8170" w14:textId="77777777" w:rsidR="006F10E1" w:rsidRP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Il beneficio riguarda lavoratori under 35 mai occupati a tempo indeterminato e si applica alle trasformazioni effettuate dal 1° agosto 2026 al 31 dicembre 2026, senza soluzione di continuità rispetto ai rapporti a termine instaurati entro il 30 aprile 2026. L’efficacia della misura è subordinata all’autorizzazione della Commissione europea, ai sensi dell’articolo 108 TFUE.</w:t>
      </w:r>
    </w:p>
    <w:p w14:paraId="7C64661F" w14:textId="33E0D83C" w:rsidR="006F10E1" w:rsidRP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lastRenderedPageBreak/>
        <w:t xml:space="preserve">L’articolo 6 introduce, inoltre, un </w:t>
      </w:r>
      <w:r w:rsidRPr="00921742">
        <w:rPr>
          <w:rFonts w:ascii="Arial" w:eastAsia="Times New Roman" w:hAnsi="Arial" w:cs="Arial"/>
          <w:b/>
          <w:bCs/>
          <w:sz w:val="24"/>
          <w:szCs w:val="24"/>
          <w:lang w:eastAsia="it-IT"/>
        </w:rPr>
        <w:t xml:space="preserve">esonero </w:t>
      </w:r>
      <w:r w:rsidRPr="005C7CA2">
        <w:rPr>
          <w:rFonts w:ascii="Arial" w:eastAsia="Times New Roman" w:hAnsi="Arial" w:cs="Arial"/>
          <w:b/>
          <w:bCs/>
          <w:sz w:val="24"/>
          <w:szCs w:val="24"/>
          <w:lang w:eastAsia="it-IT"/>
        </w:rPr>
        <w:t>contributivo in favore delle aziende in possesso delle certificazioni previste dall’articolo 8, comma 1, lettera e), del D.Lgs. n. 184/2025</w:t>
      </w:r>
      <w:r w:rsidRPr="00921742">
        <w:rPr>
          <w:rFonts w:ascii="Arial" w:eastAsia="Times New Roman" w:hAnsi="Arial" w:cs="Arial"/>
          <w:sz w:val="24"/>
          <w:szCs w:val="24"/>
          <w:lang w:eastAsia="it-IT"/>
        </w:rPr>
        <w:t>, in materia di conciliazione tra famiglia e lavoro, maternità, paternità e pari</w:t>
      </w:r>
      <w:r w:rsidRPr="00B504ED">
        <w:rPr>
          <w:rFonts w:ascii="Arial" w:eastAsia="Times New Roman" w:hAnsi="Arial" w:cs="Arial"/>
          <w:sz w:val="24"/>
          <w:szCs w:val="24"/>
          <w:lang w:eastAsia="it-IT"/>
        </w:rPr>
        <w:t xml:space="preserve"> opportunità.</w:t>
      </w:r>
    </w:p>
    <w:p w14:paraId="32AEBB8F" w14:textId="77777777" w:rsidR="006F10E1" w:rsidRP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L’agevolazione consiste in una riduzione dei contributi previdenziali a carico del datore di lavoro in misura non superiore all’1%, entro il limite massimo di 50.000 euro annui per ciascuna azienda. Le modalità operative saranno definite con apposito decreto ministeriale, da adottarsi entro 30 giorni dalla data di entrata in vigore della legge di conversione del decreto.</w:t>
      </w:r>
    </w:p>
    <w:p w14:paraId="745E36EF" w14:textId="48D005EC" w:rsidR="006F10E1" w:rsidRPr="007D6B6A" w:rsidRDefault="007D6B6A" w:rsidP="007D6B6A">
      <w:pPr>
        <w:ind w:left="0"/>
        <w:jc w:val="left"/>
        <w:rPr>
          <w:rFonts w:ascii="Arial" w:eastAsia="Times New Roman" w:hAnsi="Arial" w:cs="Arial"/>
          <w:b/>
          <w:bCs/>
          <w:color w:val="0070C0"/>
          <w:sz w:val="24"/>
          <w:szCs w:val="24"/>
          <w:lang w:eastAsia="it-IT"/>
        </w:rPr>
      </w:pPr>
      <w:r>
        <w:rPr>
          <w:rFonts w:ascii="Arial" w:eastAsia="Times New Roman" w:hAnsi="Arial" w:cs="Arial"/>
          <w:b/>
          <w:bCs/>
          <w:color w:val="0070C0"/>
          <w:sz w:val="24"/>
          <w:szCs w:val="24"/>
          <w:lang w:eastAsia="it-IT"/>
        </w:rPr>
        <w:t xml:space="preserve">B.2 </w:t>
      </w:r>
      <w:r w:rsidR="006F10E1" w:rsidRPr="007D6B6A">
        <w:rPr>
          <w:rFonts w:ascii="Arial" w:eastAsia="Times New Roman" w:hAnsi="Arial" w:cs="Arial"/>
          <w:b/>
          <w:bCs/>
          <w:color w:val="0070C0"/>
          <w:sz w:val="24"/>
          <w:szCs w:val="24"/>
          <w:lang w:eastAsia="it-IT"/>
        </w:rPr>
        <w:t>Salario giusto</w:t>
      </w:r>
    </w:p>
    <w:p w14:paraId="63E3A86B" w14:textId="77777777" w:rsidR="00F14F0F" w:rsidRPr="00F14F0F" w:rsidRDefault="00F14F0F" w:rsidP="00F14F0F">
      <w:pPr>
        <w:ind w:left="0"/>
        <w:jc w:val="left"/>
        <w:rPr>
          <w:rFonts w:ascii="Arial" w:eastAsia="Times New Roman" w:hAnsi="Arial" w:cs="Arial"/>
          <w:b/>
          <w:bCs/>
          <w:color w:val="0070C0"/>
          <w:sz w:val="24"/>
          <w:szCs w:val="24"/>
          <w:lang w:eastAsia="it-IT"/>
        </w:rPr>
      </w:pPr>
    </w:p>
    <w:p w14:paraId="5D6E74CB" w14:textId="77777777" w:rsidR="006F10E1" w:rsidRP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Il Capo II del provvedimento contiene le disposizioni in materia di “salario giusto”. L’articolo 7 stabilisce che la contrattazione collettiva costituisce lo strumento di riferimento per la determinazione del trattamento economico adeguato ai sensi dell’articolo 36 della Costituzione.</w:t>
      </w:r>
    </w:p>
    <w:p w14:paraId="72D3B804" w14:textId="77777777" w:rsid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 xml:space="preserve">In particolare, vengono individuati come parametro i contratti collettivi nazionali di lavoro stipulati dalle organizzazioni comparativamente più rappresentative sul piano nazionale. </w:t>
      </w:r>
    </w:p>
    <w:p w14:paraId="71838741" w14:textId="6968C17D" w:rsidR="006F10E1" w:rsidRPr="00B504ED" w:rsidRDefault="006F10E1" w:rsidP="00B504ED">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La disposizione prevede che il trattamento economico complessivo previsto da contratti collettivi diversi non possa essere inferiore a quello individuato dal contratto collettivo leader del settore e della categoria produttiva di riferimento.</w:t>
      </w:r>
    </w:p>
    <w:p w14:paraId="5DE8BDF3" w14:textId="77777777" w:rsidR="006F10E1" w:rsidRPr="00F14F0F" w:rsidRDefault="006F10E1" w:rsidP="00F14F0F">
      <w:pPr>
        <w:shd w:val="clear" w:color="auto" w:fill="FFFFFF"/>
        <w:spacing w:after="375" w:line="270" w:lineRule="atLeast"/>
        <w:ind w:left="0"/>
        <w:rPr>
          <w:rFonts w:ascii="Arial" w:eastAsia="Times New Roman" w:hAnsi="Arial" w:cs="Arial"/>
          <w:sz w:val="24"/>
          <w:szCs w:val="24"/>
          <w:lang w:eastAsia="it-IT"/>
        </w:rPr>
      </w:pPr>
      <w:r w:rsidRPr="00B504ED">
        <w:rPr>
          <w:rFonts w:ascii="Arial" w:eastAsia="Times New Roman" w:hAnsi="Arial" w:cs="Arial"/>
          <w:sz w:val="24"/>
          <w:szCs w:val="24"/>
          <w:lang w:eastAsia="it-IT"/>
        </w:rPr>
        <w:t>A tal fine, occorre tenere conto dell’attività principale esercitata dal datore di lavoro, della dimensione aziendale e della natura giuridica del datore stesso. Per i settori non coperti da contrattazione</w:t>
      </w:r>
      <w:r w:rsidRPr="00F14F0F">
        <w:rPr>
          <w:rFonts w:ascii="Arial" w:eastAsia="Times New Roman" w:hAnsi="Arial" w:cs="Arial"/>
          <w:sz w:val="24"/>
          <w:szCs w:val="24"/>
          <w:lang w:eastAsia="it-IT"/>
        </w:rPr>
        <w:t xml:space="preserve"> collettiva, il trattamento economico dovrà essere determinato facendo riferimento al contratto collettivo maggiormente connesso all’attività esercitata.</w:t>
      </w:r>
    </w:p>
    <w:p w14:paraId="44CBFE80" w14:textId="03BA1CDA" w:rsidR="006F10E1" w:rsidRPr="00F14F0F" w:rsidRDefault="006F10E1" w:rsidP="00F14F0F">
      <w:pPr>
        <w:spacing w:before="100" w:beforeAutospacing="1" w:after="100" w:afterAutospacing="1"/>
        <w:ind w:left="0"/>
        <w:rPr>
          <w:rFonts w:ascii="Arial" w:eastAsia="Times New Roman" w:hAnsi="Arial" w:cs="Arial"/>
          <w:sz w:val="24"/>
          <w:szCs w:val="24"/>
          <w:lang w:eastAsia="it-IT"/>
        </w:rPr>
      </w:pPr>
      <w:r w:rsidRPr="00F14F0F">
        <w:rPr>
          <w:rFonts w:ascii="Arial" w:eastAsia="Times New Roman" w:hAnsi="Arial" w:cs="Arial"/>
          <w:sz w:val="24"/>
          <w:szCs w:val="24"/>
          <w:lang w:eastAsia="it-IT"/>
        </w:rPr>
        <w:t xml:space="preserve">La norma </w:t>
      </w:r>
      <w:r w:rsidR="00F14F0F" w:rsidRPr="00F14F0F">
        <w:rPr>
          <w:rFonts w:ascii="Arial" w:eastAsia="Times New Roman" w:hAnsi="Arial" w:cs="Arial"/>
          <w:sz w:val="24"/>
          <w:szCs w:val="24"/>
          <w:lang w:eastAsia="it-IT"/>
        </w:rPr>
        <w:t>collega, inoltre,</w:t>
      </w:r>
      <w:r w:rsidRPr="00F14F0F">
        <w:rPr>
          <w:rFonts w:ascii="Arial" w:eastAsia="Times New Roman" w:hAnsi="Arial" w:cs="Arial"/>
          <w:sz w:val="24"/>
          <w:szCs w:val="24"/>
          <w:lang w:eastAsia="it-IT"/>
        </w:rPr>
        <w:t xml:space="preserve"> l’accesso ai benefici previsti dal decreto al riconoscimento, in favore del lavoratore, di un trattamento economico individuale non inferiore a quello determinato secondo tali criteri.</w:t>
      </w:r>
    </w:p>
    <w:p w14:paraId="60EF4B91" w14:textId="77777777" w:rsidR="006F10E1" w:rsidRPr="00F14F0F" w:rsidRDefault="006F10E1" w:rsidP="00F14F0F">
      <w:pPr>
        <w:spacing w:before="100" w:beforeAutospacing="1" w:after="100" w:afterAutospacing="1"/>
        <w:ind w:left="0"/>
        <w:rPr>
          <w:rFonts w:ascii="Arial" w:eastAsia="Times New Roman" w:hAnsi="Arial" w:cs="Arial"/>
          <w:sz w:val="24"/>
          <w:szCs w:val="24"/>
          <w:lang w:eastAsia="it-IT"/>
        </w:rPr>
      </w:pPr>
      <w:r w:rsidRPr="00F14F0F">
        <w:rPr>
          <w:rFonts w:ascii="Arial" w:eastAsia="Times New Roman" w:hAnsi="Arial" w:cs="Arial"/>
          <w:sz w:val="24"/>
          <w:szCs w:val="24"/>
          <w:lang w:eastAsia="it-IT"/>
        </w:rPr>
        <w:t>Il decreto introduce anche un sistema di monitoraggio e raccolta dei dati retributivi, affidato a CNEL, INPS, ISTAT, INAPP, INL e ad altri soggetti pubblici individuati con successivi decreti ministeriali. Le amministrazioni coinvolte dovranno collaborare nella raccolta e condivisione dei dati retributivi disaggregati, nell’elaborazione di indicatori statistici relativi alla copertura contrattuale e nell’analisi dei livelli retributivi applicati nei diversi settori economici.</w:t>
      </w:r>
    </w:p>
    <w:p w14:paraId="5732D610" w14:textId="77777777" w:rsidR="006F10E1" w:rsidRPr="00F14F0F" w:rsidRDefault="006F10E1" w:rsidP="00F14F0F">
      <w:pPr>
        <w:spacing w:before="100" w:beforeAutospacing="1" w:after="100" w:afterAutospacing="1"/>
        <w:ind w:left="0"/>
        <w:rPr>
          <w:rFonts w:ascii="Arial" w:eastAsia="Times New Roman" w:hAnsi="Arial" w:cs="Arial"/>
          <w:sz w:val="24"/>
          <w:szCs w:val="24"/>
          <w:lang w:eastAsia="it-IT"/>
        </w:rPr>
      </w:pPr>
      <w:r w:rsidRPr="00F14F0F">
        <w:rPr>
          <w:rFonts w:ascii="Arial" w:eastAsia="Times New Roman" w:hAnsi="Arial" w:cs="Arial"/>
          <w:sz w:val="24"/>
          <w:szCs w:val="24"/>
          <w:lang w:eastAsia="it-IT"/>
        </w:rPr>
        <w:lastRenderedPageBreak/>
        <w:t>È inoltre prevista la predisposizione di un rapporto nazionale annuale sulle retribuzioni, nonché l’istituzione presso il CNEL di un archivio amministrativo dei contratti collettivi aziendali e territoriali depositati presso il Ministero del Lavoro.</w:t>
      </w:r>
    </w:p>
    <w:p w14:paraId="544AFC3A" w14:textId="77777777" w:rsidR="006F10E1" w:rsidRPr="00F14F0F" w:rsidRDefault="006F10E1" w:rsidP="00F14F0F">
      <w:pPr>
        <w:spacing w:before="100" w:beforeAutospacing="1" w:after="100" w:afterAutospacing="1"/>
        <w:ind w:left="0"/>
        <w:rPr>
          <w:rFonts w:ascii="Arial" w:eastAsia="Times New Roman" w:hAnsi="Arial" w:cs="Arial"/>
          <w:sz w:val="24"/>
          <w:szCs w:val="24"/>
          <w:lang w:eastAsia="it-IT"/>
        </w:rPr>
      </w:pPr>
      <w:r w:rsidRPr="00F14F0F">
        <w:rPr>
          <w:rFonts w:ascii="Arial" w:eastAsia="Times New Roman" w:hAnsi="Arial" w:cs="Arial"/>
          <w:sz w:val="24"/>
          <w:szCs w:val="24"/>
          <w:lang w:eastAsia="it-IT"/>
        </w:rPr>
        <w:t>L’articolo 10 disciplina il tema dei rinnovi contrattuali. In caso di mancato rinnovo dei CCNL entro i 12 mesi successivi alla naturale scadenza, le retribuzioni dovranno essere adeguate in misura pari al 30% della variazione dell’IPCA, salvo diversa previsione della contrattazione collettiva. Per i settori caratterizzati da elevata stagionalità e variabilità dei ricavi, il decreto consente l’utilizzo di specifici indicatori economici settoriali individuati dalle parti sociali.</w:t>
      </w:r>
    </w:p>
    <w:p w14:paraId="0C4A5DB8" w14:textId="77777777" w:rsidR="003932BE" w:rsidRDefault="006F10E1" w:rsidP="003932BE">
      <w:pPr>
        <w:spacing w:before="100" w:beforeAutospacing="1" w:after="100" w:afterAutospacing="1"/>
        <w:ind w:left="0"/>
        <w:rPr>
          <w:rFonts w:ascii="Arial" w:eastAsia="Times New Roman" w:hAnsi="Arial" w:cs="Arial"/>
          <w:sz w:val="24"/>
          <w:szCs w:val="24"/>
          <w:lang w:eastAsia="it-IT"/>
        </w:rPr>
      </w:pPr>
      <w:r w:rsidRPr="00F14F0F">
        <w:rPr>
          <w:rFonts w:ascii="Arial" w:eastAsia="Times New Roman" w:hAnsi="Arial" w:cs="Arial"/>
          <w:sz w:val="24"/>
          <w:szCs w:val="24"/>
          <w:lang w:eastAsia="it-IT"/>
        </w:rPr>
        <w:t xml:space="preserve">Ulteriori disposizioni riguardano gli obblighi informativi relativi al contratto collettivo applicato. Il decreto prevede infatti l’indicazione </w:t>
      </w:r>
      <w:r w:rsidRPr="00504CED">
        <w:rPr>
          <w:rFonts w:ascii="Arial" w:eastAsia="Times New Roman" w:hAnsi="Arial" w:cs="Arial"/>
          <w:sz w:val="24"/>
          <w:szCs w:val="24"/>
          <w:lang w:eastAsia="it-IT"/>
        </w:rPr>
        <w:t>del</w:t>
      </w:r>
      <w:r w:rsidRPr="00504CED">
        <w:rPr>
          <w:rFonts w:ascii="Arial" w:eastAsia="Times New Roman" w:hAnsi="Arial" w:cs="Arial"/>
          <w:b/>
          <w:bCs/>
          <w:sz w:val="24"/>
          <w:szCs w:val="24"/>
          <w:lang w:eastAsia="it-IT"/>
        </w:rPr>
        <w:t xml:space="preserve"> codice alfanumerico unico</w:t>
      </w:r>
      <w:r w:rsidRPr="00F14F0F">
        <w:rPr>
          <w:rFonts w:ascii="Arial" w:eastAsia="Times New Roman" w:hAnsi="Arial" w:cs="Arial"/>
          <w:sz w:val="24"/>
          <w:szCs w:val="24"/>
          <w:lang w:eastAsia="it-IT"/>
        </w:rPr>
        <w:t xml:space="preserve"> del CCNL applicato nella documentazione consegnata al lavoratore, nelle comunicazioni obbligatorie e nei flussi informativi previdenziali. Tale previsione è finalizzata al monitoraggio dell’effettiva applicazione dei contratti collettivi e al contrasto dei fenomeni di dumping contrattuale e retributivo.</w:t>
      </w:r>
    </w:p>
    <w:p w14:paraId="3763FBF0" w14:textId="6F0D7A77" w:rsidR="005A2B49" w:rsidRPr="003932BE" w:rsidRDefault="00840DB4" w:rsidP="003932BE">
      <w:pPr>
        <w:spacing w:before="100" w:beforeAutospacing="1" w:after="100" w:afterAutospacing="1"/>
        <w:ind w:left="0"/>
        <w:rPr>
          <w:rFonts w:ascii="Arial" w:eastAsia="Times New Roman" w:hAnsi="Arial" w:cs="Arial"/>
          <w:sz w:val="24"/>
          <w:szCs w:val="24"/>
          <w:lang w:eastAsia="it-IT"/>
        </w:rPr>
      </w:pPr>
      <w:r>
        <w:rPr>
          <w:rFonts w:ascii="Arial" w:eastAsia="Times New Roman" w:hAnsi="Arial" w:cs="Arial"/>
          <w:b/>
          <w:bCs/>
          <w:color w:val="0070C0"/>
          <w:sz w:val="24"/>
          <w:szCs w:val="24"/>
          <w:lang w:eastAsia="it-IT"/>
        </w:rPr>
        <w:t>B</w:t>
      </w:r>
      <w:r w:rsidR="003932BE">
        <w:rPr>
          <w:rFonts w:ascii="Arial" w:eastAsia="Times New Roman" w:hAnsi="Arial" w:cs="Arial"/>
          <w:b/>
          <w:bCs/>
          <w:color w:val="0070C0"/>
          <w:sz w:val="24"/>
          <w:szCs w:val="24"/>
          <w:lang w:eastAsia="it-IT"/>
        </w:rPr>
        <w:t xml:space="preserve">.3 </w:t>
      </w:r>
      <w:r w:rsidR="006F10E1" w:rsidRPr="003932BE">
        <w:rPr>
          <w:rFonts w:ascii="Arial" w:eastAsia="Times New Roman" w:hAnsi="Arial" w:cs="Arial"/>
          <w:b/>
          <w:bCs/>
          <w:color w:val="0070C0"/>
          <w:sz w:val="24"/>
          <w:szCs w:val="24"/>
          <w:lang w:eastAsia="it-IT"/>
        </w:rPr>
        <w:t xml:space="preserve">Misure di contrasto </w:t>
      </w:r>
      <w:r w:rsidR="002A4830">
        <w:rPr>
          <w:rFonts w:ascii="Arial" w:eastAsia="Times New Roman" w:hAnsi="Arial" w:cs="Arial"/>
          <w:b/>
          <w:bCs/>
          <w:color w:val="0070C0"/>
          <w:sz w:val="24"/>
          <w:szCs w:val="24"/>
          <w:lang w:eastAsia="it-IT"/>
        </w:rPr>
        <w:t xml:space="preserve">del </w:t>
      </w:r>
      <w:r w:rsidR="006F10E1" w:rsidRPr="003932BE">
        <w:rPr>
          <w:rFonts w:ascii="Arial" w:eastAsia="Times New Roman" w:hAnsi="Arial" w:cs="Arial"/>
          <w:b/>
          <w:bCs/>
          <w:color w:val="0070C0"/>
          <w:sz w:val="24"/>
          <w:szCs w:val="24"/>
          <w:lang w:eastAsia="it-IT"/>
        </w:rPr>
        <w:t>caporalato digitale</w:t>
      </w:r>
    </w:p>
    <w:p w14:paraId="37C9B403" w14:textId="77777777" w:rsidR="006F10E1" w:rsidRPr="005A2B49" w:rsidRDefault="006F10E1" w:rsidP="005A2B49">
      <w:pPr>
        <w:spacing w:before="100" w:beforeAutospacing="1" w:after="100" w:afterAutospacing="1"/>
        <w:ind w:left="0"/>
        <w:rPr>
          <w:rFonts w:ascii="Arial" w:eastAsia="Times New Roman" w:hAnsi="Arial" w:cs="Arial"/>
          <w:sz w:val="24"/>
          <w:szCs w:val="24"/>
          <w:lang w:eastAsia="it-IT"/>
        </w:rPr>
      </w:pPr>
      <w:r w:rsidRPr="005A2B49">
        <w:rPr>
          <w:rFonts w:ascii="Arial" w:eastAsia="Times New Roman" w:hAnsi="Arial" w:cs="Arial"/>
          <w:sz w:val="24"/>
          <w:szCs w:val="24"/>
          <w:lang w:eastAsia="it-IT"/>
        </w:rPr>
        <w:t>Il Capo III contiene le misure di prevenzione e contrasto del caporalato digitale. In particolare, gli articoli 12, 13, 14 e 15 disciplinano il lavoro intermediato mediante piattaforme digitali, introducendo criteri per la qualificazione del rapporto di lavoro basati sulle concrete modalità di svolgimento della prestazione e sulla presenza di poteri organizzativi, di controllo o di direzione esercitati anche mediante sistemi automatizzati o algoritmici.</w:t>
      </w:r>
    </w:p>
    <w:p w14:paraId="500B9907" w14:textId="77777777" w:rsidR="006F10E1" w:rsidRPr="005A2B49" w:rsidRDefault="006F10E1" w:rsidP="005A2B49">
      <w:pPr>
        <w:spacing w:before="100" w:beforeAutospacing="1" w:after="100" w:afterAutospacing="1"/>
        <w:ind w:left="0"/>
        <w:rPr>
          <w:rFonts w:ascii="Arial" w:eastAsia="Times New Roman" w:hAnsi="Arial" w:cs="Arial"/>
          <w:sz w:val="24"/>
          <w:szCs w:val="24"/>
          <w:lang w:eastAsia="it-IT"/>
        </w:rPr>
      </w:pPr>
      <w:r w:rsidRPr="005A2B49">
        <w:rPr>
          <w:rFonts w:ascii="Arial" w:eastAsia="Times New Roman" w:hAnsi="Arial" w:cs="Arial"/>
          <w:sz w:val="24"/>
          <w:szCs w:val="24"/>
          <w:lang w:eastAsia="it-IT"/>
        </w:rPr>
        <w:t>Quando emergono indici di eterodirezione o di controllo algoritmico, il rapporto si presume subordinato, salvo prova contraria.</w:t>
      </w:r>
    </w:p>
    <w:p w14:paraId="67FA7563" w14:textId="77777777" w:rsidR="006F10E1" w:rsidRPr="005A2B49" w:rsidRDefault="006F10E1" w:rsidP="005A2B49">
      <w:pPr>
        <w:spacing w:before="100" w:beforeAutospacing="1" w:after="100" w:afterAutospacing="1"/>
        <w:ind w:left="0"/>
        <w:rPr>
          <w:rFonts w:ascii="Arial" w:eastAsia="Times New Roman" w:hAnsi="Arial" w:cs="Arial"/>
          <w:sz w:val="24"/>
          <w:szCs w:val="24"/>
          <w:lang w:eastAsia="it-IT"/>
        </w:rPr>
      </w:pPr>
      <w:r w:rsidRPr="005A2B49">
        <w:rPr>
          <w:rFonts w:ascii="Arial" w:eastAsia="Times New Roman" w:hAnsi="Arial" w:cs="Arial"/>
          <w:sz w:val="24"/>
          <w:szCs w:val="24"/>
          <w:lang w:eastAsia="it-IT"/>
        </w:rPr>
        <w:t>Il decreto introduce inoltre specifici obblighi informativi relativi agli algoritmi utilizzati dalle piattaforme, obblighi di conservazione dei dati riguardanti accessi, assegnazioni e compensi, nonché nuove disposizioni in materia di autenticazione degli account, Libro Unico del Lavoro e formazione obbligatoria per i rider.</w:t>
      </w:r>
    </w:p>
    <w:p w14:paraId="1F4C576B" w14:textId="5AA93BAE" w:rsidR="005A2B49" w:rsidRPr="00840DB4" w:rsidRDefault="00840DB4" w:rsidP="00840DB4">
      <w:pPr>
        <w:ind w:left="0"/>
        <w:jc w:val="left"/>
        <w:rPr>
          <w:rFonts w:ascii="Arial" w:eastAsia="Times New Roman" w:hAnsi="Arial" w:cs="Arial"/>
          <w:b/>
          <w:bCs/>
          <w:color w:val="0070C0"/>
          <w:sz w:val="24"/>
          <w:szCs w:val="24"/>
          <w:lang w:eastAsia="it-IT"/>
        </w:rPr>
      </w:pPr>
      <w:r>
        <w:rPr>
          <w:rFonts w:ascii="Arial" w:eastAsia="Times New Roman" w:hAnsi="Arial" w:cs="Arial"/>
          <w:b/>
          <w:bCs/>
          <w:color w:val="0070C0"/>
          <w:sz w:val="24"/>
          <w:szCs w:val="24"/>
          <w:lang w:eastAsia="it-IT"/>
        </w:rPr>
        <w:t xml:space="preserve">B.4 </w:t>
      </w:r>
      <w:r w:rsidR="006F10E1" w:rsidRPr="00840DB4">
        <w:rPr>
          <w:rFonts w:ascii="Arial" w:eastAsia="Times New Roman" w:hAnsi="Arial" w:cs="Arial"/>
          <w:b/>
          <w:bCs/>
          <w:color w:val="0070C0"/>
          <w:sz w:val="24"/>
          <w:szCs w:val="24"/>
          <w:lang w:eastAsia="it-IT"/>
        </w:rPr>
        <w:t>Versamento al Fondo di Tesoreria INPS</w:t>
      </w:r>
    </w:p>
    <w:p w14:paraId="68B3AF90" w14:textId="77777777" w:rsidR="006F10E1" w:rsidRPr="005A2B49" w:rsidRDefault="006F10E1" w:rsidP="005A2B49">
      <w:pPr>
        <w:spacing w:before="100" w:beforeAutospacing="1" w:after="100" w:afterAutospacing="1"/>
        <w:ind w:left="0"/>
        <w:rPr>
          <w:rFonts w:ascii="Arial" w:eastAsia="Times New Roman" w:hAnsi="Arial" w:cs="Arial"/>
          <w:sz w:val="24"/>
          <w:szCs w:val="24"/>
          <w:lang w:eastAsia="it-IT"/>
        </w:rPr>
      </w:pPr>
      <w:r w:rsidRPr="005A2B49">
        <w:rPr>
          <w:rFonts w:ascii="Arial" w:eastAsia="Times New Roman" w:hAnsi="Arial" w:cs="Arial"/>
          <w:sz w:val="24"/>
          <w:szCs w:val="24"/>
          <w:lang w:eastAsia="it-IT"/>
        </w:rPr>
        <w:t>Infine, l’articolo 16 introduce una disposizione transitoria in materia di versamento al Fondo di Tesoreria INPS. In particolare, viene previsto che i versamenti relativi ai periodi da gennaio a giugno 2026, se effettuati entro il 16 luglio 2026, siano considerati tempestivi.</w:t>
      </w:r>
    </w:p>
    <w:p w14:paraId="3AED09B8" w14:textId="3AE19532" w:rsidR="00EE55B2" w:rsidRDefault="006F10E1" w:rsidP="00D71DE7">
      <w:pPr>
        <w:spacing w:before="100" w:beforeAutospacing="1" w:after="100" w:afterAutospacing="1"/>
        <w:ind w:left="0"/>
        <w:rPr>
          <w:rFonts w:ascii="Arial" w:eastAsia="Times New Roman" w:hAnsi="Arial" w:cs="Arial"/>
          <w:sz w:val="24"/>
          <w:szCs w:val="24"/>
          <w:lang w:eastAsia="it-IT"/>
        </w:rPr>
      </w:pPr>
      <w:r w:rsidRPr="005A2B49">
        <w:rPr>
          <w:rFonts w:ascii="Arial" w:eastAsia="Times New Roman" w:hAnsi="Arial" w:cs="Arial"/>
          <w:sz w:val="24"/>
          <w:szCs w:val="24"/>
          <w:lang w:eastAsia="it-IT"/>
        </w:rPr>
        <w:t>In tali casi, non trovano applicazione sanzioni civili, interessi o somme aggiuntive nei confronti dei datori di lavoro interessati dalle nuove regole introdotte dalla legge di Bilancio 2026.</w:t>
      </w:r>
    </w:p>
    <w:p w14:paraId="0C9DCF51" w14:textId="77777777" w:rsidR="00596215" w:rsidRDefault="00596215" w:rsidP="00D71DE7">
      <w:pPr>
        <w:spacing w:before="100" w:beforeAutospacing="1" w:after="100" w:afterAutospacing="1"/>
        <w:ind w:left="0"/>
        <w:rPr>
          <w:rFonts w:ascii="Arial" w:eastAsia="Times New Roman" w:hAnsi="Arial" w:cs="Arial"/>
          <w:sz w:val="24"/>
          <w:szCs w:val="24"/>
          <w:lang w:eastAsia="it-IT"/>
        </w:rPr>
      </w:pPr>
      <w:r w:rsidRPr="00596215">
        <w:rPr>
          <w:rFonts w:ascii="Arial" w:eastAsia="Times New Roman" w:hAnsi="Arial" w:cs="Arial"/>
          <w:sz w:val="24"/>
          <w:szCs w:val="24"/>
          <w:lang w:eastAsia="it-IT"/>
        </w:rPr>
        <w:t xml:space="preserve">Lo studio rimane a disposizione per eventuali ulteriori chiarimenti. </w:t>
      </w:r>
    </w:p>
    <w:p w14:paraId="6339B71E" w14:textId="1B46F7D1" w:rsidR="00840DB4" w:rsidRDefault="00596215" w:rsidP="00D71DE7">
      <w:pPr>
        <w:spacing w:before="100" w:beforeAutospacing="1" w:after="100" w:afterAutospacing="1"/>
        <w:ind w:left="0"/>
        <w:rPr>
          <w:rFonts w:ascii="Arial" w:eastAsia="Times New Roman" w:hAnsi="Arial" w:cs="Arial"/>
          <w:sz w:val="24"/>
          <w:szCs w:val="24"/>
          <w:lang w:eastAsia="it-IT"/>
        </w:rPr>
      </w:pPr>
      <w:r w:rsidRPr="00596215">
        <w:rPr>
          <w:rFonts w:ascii="Arial" w:eastAsia="Times New Roman" w:hAnsi="Arial" w:cs="Arial"/>
          <w:sz w:val="24"/>
          <w:szCs w:val="24"/>
          <w:lang w:eastAsia="it-IT"/>
        </w:rPr>
        <w:lastRenderedPageBreak/>
        <w:t>Distinti saluti.</w:t>
      </w:r>
    </w:p>
    <w:p w14:paraId="143EE550" w14:textId="338A0789" w:rsidR="00840DB4" w:rsidRPr="000472C2" w:rsidRDefault="000472C2" w:rsidP="00D71DE7">
      <w:pPr>
        <w:spacing w:before="100" w:beforeAutospacing="1" w:after="100" w:afterAutospacing="1"/>
        <w:ind w:left="0"/>
        <w:rPr>
          <w:rFonts w:ascii="Arial" w:eastAsia="Times New Roman" w:hAnsi="Arial" w:cs="Arial"/>
          <w:b/>
          <w:bCs/>
          <w:color w:val="0070C0"/>
          <w:sz w:val="24"/>
          <w:szCs w:val="24"/>
          <w:lang w:eastAsia="it-IT"/>
        </w:rPr>
      </w:pPr>
      <w:r w:rsidRPr="000472C2">
        <w:rPr>
          <w:rFonts w:ascii="Arial" w:eastAsia="Times New Roman" w:hAnsi="Arial" w:cs="Arial"/>
          <w:b/>
          <w:bCs/>
          <w:color w:val="0070C0"/>
          <w:sz w:val="24"/>
          <w:szCs w:val="24"/>
          <w:lang w:eastAsia="it-IT"/>
        </w:rPr>
        <w:t>Studio Dafe STP S.r.l.</w:t>
      </w:r>
    </w:p>
    <w:p w14:paraId="4F0221E7" w14:textId="77777777" w:rsidR="00840DB4" w:rsidRDefault="00840DB4" w:rsidP="00D71DE7">
      <w:pPr>
        <w:spacing w:before="100" w:beforeAutospacing="1" w:after="100" w:afterAutospacing="1"/>
        <w:ind w:left="0"/>
        <w:rPr>
          <w:rFonts w:ascii="Arial" w:eastAsia="Times New Roman" w:hAnsi="Arial" w:cs="Arial"/>
          <w:sz w:val="24"/>
          <w:szCs w:val="24"/>
          <w:lang w:eastAsia="it-IT"/>
        </w:rPr>
      </w:pPr>
    </w:p>
    <w:p w14:paraId="44CF9D79" w14:textId="77777777" w:rsidR="00840DB4" w:rsidRDefault="00840DB4" w:rsidP="00D71DE7">
      <w:pPr>
        <w:spacing w:before="100" w:beforeAutospacing="1" w:after="100" w:afterAutospacing="1"/>
        <w:ind w:left="0"/>
        <w:rPr>
          <w:rFonts w:ascii="Arial" w:eastAsia="Times New Roman" w:hAnsi="Arial" w:cs="Arial"/>
          <w:sz w:val="24"/>
          <w:szCs w:val="24"/>
          <w:lang w:eastAsia="it-IT"/>
        </w:rPr>
      </w:pPr>
    </w:p>
    <w:bookmarkEnd w:id="0"/>
    <w:p w14:paraId="7685A0F4" w14:textId="77777777" w:rsidR="007373B6" w:rsidRPr="00D71DE7" w:rsidRDefault="007373B6" w:rsidP="00D71DE7">
      <w:pPr>
        <w:spacing w:before="100" w:beforeAutospacing="1" w:after="100" w:afterAutospacing="1"/>
        <w:ind w:left="0"/>
        <w:rPr>
          <w:rFonts w:ascii="Arial" w:eastAsia="Times New Roman" w:hAnsi="Arial" w:cs="Arial"/>
          <w:sz w:val="24"/>
          <w:szCs w:val="24"/>
          <w:lang w:eastAsia="it-IT"/>
        </w:rPr>
      </w:pPr>
    </w:p>
    <w:sectPr w:rsidR="007373B6" w:rsidRPr="00D71DE7" w:rsidSect="00640192">
      <w:headerReference w:type="default" r:id="rId11"/>
      <w:footerReference w:type="default" r:id="rId12"/>
      <w:pgSz w:w="11900" w:h="16840"/>
      <w:pgMar w:top="1985" w:right="1134" w:bottom="2127" w:left="1134" w:header="424" w:footer="23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A1ED0" w14:textId="77777777" w:rsidR="00140187" w:rsidRDefault="00140187" w:rsidP="003C3067">
      <w:r>
        <w:separator/>
      </w:r>
    </w:p>
  </w:endnote>
  <w:endnote w:type="continuationSeparator" w:id="0">
    <w:p w14:paraId="2CD8DB4A" w14:textId="77777777" w:rsidR="00140187" w:rsidRDefault="00140187" w:rsidP="003C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T Sans">
    <w:charset w:val="00"/>
    <w:family w:val="swiss"/>
    <w:pitch w:val="variable"/>
    <w:sig w:usb0="A00002EF" w:usb1="5000204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Calibri-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foTextOT-Italic">
    <w:panose1 w:val="00000000000000000000"/>
    <w:charset w:val="00"/>
    <w:family w:val="swiss"/>
    <w:notTrueType/>
    <w:pitch w:val="variable"/>
    <w:sig w:usb0="800000EF" w:usb1="4000207B" w:usb2="00000008" w:usb3="00000000" w:csb0="00000001" w:csb1="00000000"/>
  </w:font>
  <w:font w:name="Rockwell">
    <w:panose1 w:val="02060603020205020403"/>
    <w:charset w:val="00"/>
    <w:family w:val="roman"/>
    <w:pitch w:val="variable"/>
    <w:sig w:usb0="00000007" w:usb1="00000000" w:usb2="00000000" w:usb3="00000000" w:csb0="00000003"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398E" w14:textId="3FE0992F" w:rsidR="003C3067" w:rsidRDefault="00E802A3" w:rsidP="001F0405">
    <w:pPr>
      <w:pStyle w:val="Pidipagina"/>
      <w:ind w:left="-851" w:hanging="142"/>
    </w:pPr>
    <w:r>
      <w:rPr>
        <w:noProof/>
      </w:rPr>
      <w:drawing>
        <wp:anchor distT="0" distB="0" distL="114300" distR="114300" simplePos="0" relativeHeight="251658242" behindDoc="0" locked="0" layoutInCell="1" allowOverlap="1" wp14:anchorId="4056D899" wp14:editId="2BEB7FC9">
          <wp:simplePos x="0" y="0"/>
          <wp:positionH relativeFrom="column">
            <wp:posOffset>-709138</wp:posOffset>
          </wp:positionH>
          <wp:positionV relativeFrom="paragraph">
            <wp:posOffset>-522964</wp:posOffset>
          </wp:positionV>
          <wp:extent cx="7555441" cy="824230"/>
          <wp:effectExtent l="0" t="0" r="7620" b="0"/>
          <wp:wrapNone/>
          <wp:docPr id="2140690703" name="Immagine 214069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2265" name="Immagine 180492265"/>
                  <pic:cNvPicPr/>
                </pic:nvPicPr>
                <pic:blipFill>
                  <a:blip r:embed="rId1"/>
                  <a:stretch>
                    <a:fillRect/>
                  </a:stretch>
                </pic:blipFill>
                <pic:spPr>
                  <a:xfrm>
                    <a:off x="0" y="0"/>
                    <a:ext cx="7555441" cy="82423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6259B" w14:textId="77777777" w:rsidR="00140187" w:rsidRDefault="00140187" w:rsidP="003C3067">
      <w:r>
        <w:separator/>
      </w:r>
    </w:p>
  </w:footnote>
  <w:footnote w:type="continuationSeparator" w:id="0">
    <w:p w14:paraId="098CBFD1" w14:textId="77777777" w:rsidR="00140187" w:rsidRDefault="00140187" w:rsidP="003C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C49C" w14:textId="26617D83" w:rsidR="003C3067" w:rsidRDefault="00A725FF" w:rsidP="001F0405">
    <w:pPr>
      <w:pStyle w:val="Intestazione"/>
      <w:tabs>
        <w:tab w:val="clear" w:pos="4819"/>
        <w:tab w:val="clear" w:pos="9638"/>
        <w:tab w:val="center" w:pos="5570"/>
      </w:tabs>
      <w:ind w:left="-993" w:right="-709"/>
    </w:pPr>
    <w:r>
      <w:rPr>
        <w:noProof/>
      </w:rPr>
      <w:drawing>
        <wp:anchor distT="0" distB="0" distL="114300" distR="114300" simplePos="0" relativeHeight="251658241" behindDoc="1" locked="0" layoutInCell="1" allowOverlap="1" wp14:anchorId="7660574A" wp14:editId="247CBC14">
          <wp:simplePos x="0" y="0"/>
          <wp:positionH relativeFrom="column">
            <wp:posOffset>-751895</wp:posOffset>
          </wp:positionH>
          <wp:positionV relativeFrom="paragraph">
            <wp:posOffset>-237435</wp:posOffset>
          </wp:positionV>
          <wp:extent cx="12177913" cy="1071880"/>
          <wp:effectExtent l="0" t="0" r="0" b="0"/>
          <wp:wrapNone/>
          <wp:docPr id="569027258" name="Immagine 5690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0910" name="Immagine 1115750910"/>
                  <pic:cNvPicPr/>
                </pic:nvPicPr>
                <pic:blipFill>
                  <a:blip r:embed="rId1"/>
                  <a:stretch>
                    <a:fillRect/>
                  </a:stretch>
                </pic:blipFill>
                <pic:spPr>
                  <a:xfrm>
                    <a:off x="0" y="0"/>
                    <a:ext cx="12177913" cy="1071880"/>
                  </a:xfrm>
                  <a:prstGeom prst="rect">
                    <a:avLst/>
                  </a:prstGeom>
                </pic:spPr>
              </pic:pic>
            </a:graphicData>
          </a:graphic>
          <wp14:sizeRelH relativeFrom="page">
            <wp14:pctWidth>0</wp14:pctWidth>
          </wp14:sizeRelH>
          <wp14:sizeRelV relativeFrom="page">
            <wp14:pctHeight>0</wp14:pctHeight>
          </wp14:sizeRelV>
        </wp:anchor>
      </w:drawing>
    </w:r>
    <w:r w:rsidR="001F0405">
      <w:rPr>
        <w:noProof/>
      </w:rPr>
      <mc:AlternateContent>
        <mc:Choice Requires="wps">
          <w:drawing>
            <wp:anchor distT="0" distB="0" distL="114300" distR="114300" simplePos="0" relativeHeight="251658240" behindDoc="0" locked="1" layoutInCell="1" allowOverlap="1" wp14:anchorId="2A185EB4" wp14:editId="1A48F030">
              <wp:simplePos x="0" y="0"/>
              <wp:positionH relativeFrom="column">
                <wp:posOffset>561975</wp:posOffset>
              </wp:positionH>
              <wp:positionV relativeFrom="paragraph">
                <wp:posOffset>16510</wp:posOffset>
              </wp:positionV>
              <wp:extent cx="4810125" cy="543560"/>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4810125" cy="543560"/>
                      </a:xfrm>
                      <a:prstGeom prst="rect">
                        <a:avLst/>
                      </a:prstGeom>
                      <a:noFill/>
                      <a:ln w="6350">
                        <a:noFill/>
                      </a:ln>
                    </wps:spPr>
                    <wps:txbx>
                      <w:txbxContent>
                        <w:p w14:paraId="0E084260" w14:textId="31910CFC"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231C88">
                            <w:rPr>
                              <w:rFonts w:ascii="Rockwell" w:hAnsi="Rockwell" w:cs="Aharoni"/>
                              <w:color w:val="1F497D"/>
                              <w:sz w:val="32"/>
                              <w:szCs w:val="32"/>
                            </w:rPr>
                            <w:t>4</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F356B6">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85EB4" id="_x0000_t202" coordsize="21600,21600" o:spt="202" path="m,l,21600r21600,l21600,xe">
              <v:stroke joinstyle="miter"/>
              <v:path gradientshapeok="t" o:connecttype="rect"/>
            </v:shapetype>
            <v:shape id="Casella di testo 6" o:spid="_x0000_s1026" type="#_x0000_t202" style="position:absolute;left:0;text-align:left;margin-left:44.25pt;margin-top:1.3pt;width:378.75pt;height:4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" filled="f" stroked="f" strokeweight=".5pt">
              <v:textbox>
                <w:txbxContent>
                  <w:p w14:paraId="0E084260" w14:textId="31910CFC"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sidR="00D91F2D">
                      <w:rPr>
                        <w:rFonts w:ascii="Rockwell" w:hAnsi="Rockwell" w:cs="Aharoni"/>
                        <w:color w:val="1F497D"/>
                        <w:sz w:val="32"/>
                        <w:szCs w:val="32"/>
                      </w:rPr>
                      <w:t>0</w:t>
                    </w:r>
                    <w:r w:rsidR="00231C88">
                      <w:rPr>
                        <w:rFonts w:ascii="Rockwell" w:hAnsi="Rockwell" w:cs="Aharoni"/>
                        <w:color w:val="1F497D"/>
                        <w:sz w:val="32"/>
                        <w:szCs w:val="32"/>
                      </w:rPr>
                      <w:t>4</w:t>
                    </w:r>
                    <w:r w:rsidR="0070698B">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F356B6">
                      <w:rPr>
                        <w:rFonts w:ascii="Rockwell" w:hAnsi="Rockwell" w:cs="Aharoni"/>
                        <w:color w:val="1F497D"/>
                        <w:sz w:val="32"/>
                        <w:szCs w:val="32"/>
                      </w:rPr>
                      <w:t>01 giugno</w:t>
                    </w:r>
                    <w:r w:rsidR="00BB63F8">
                      <w:rPr>
                        <w:rFonts w:ascii="Rockwell" w:hAnsi="Rockwell" w:cs="Aharoni"/>
                        <w:color w:val="1F497D"/>
                        <w:sz w:val="32"/>
                        <w:szCs w:val="32"/>
                      </w:rPr>
                      <w:t xml:space="preserve"> </w:t>
                    </w:r>
                    <w:r w:rsidR="00D91F2D">
                      <w:rPr>
                        <w:rFonts w:ascii="Rockwell" w:hAnsi="Rockwell" w:cs="Aharoni"/>
                        <w:color w:val="1F497D"/>
                        <w:sz w:val="32"/>
                        <w:szCs w:val="32"/>
                      </w:rPr>
                      <w:t>2026</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7C22"/>
    <w:multiLevelType w:val="hybridMultilevel"/>
    <w:tmpl w:val="5B820542"/>
    <w:lvl w:ilvl="0" w:tplc="2398DEDE">
      <w:start w:val="1"/>
      <w:numFmt w:val="lowerLetter"/>
      <w:pStyle w:val="puntielencoletterea"/>
      <w:lvlText w:val="%1)"/>
      <w:lvlJc w:val="left"/>
      <w:pPr>
        <w:ind w:left="720" w:hanging="360"/>
      </w:pPr>
      <w:rPr>
        <w:rFonts w:ascii="PT Sans" w:hAnsi="PT San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A6A24D3"/>
    <w:multiLevelType w:val="hybridMultilevel"/>
    <w:tmpl w:val="07F8103C"/>
    <w:lvl w:ilvl="0" w:tplc="A2229F7C">
      <w:start w:val="1"/>
      <w:numFmt w:val="decimal"/>
      <w:pStyle w:val="puntielenconumeri"/>
      <w:lvlText w:val="%1."/>
      <w:lvlJc w:val="left"/>
      <w:pPr>
        <w:ind w:left="360" w:hanging="360"/>
      </w:pPr>
      <w:rPr>
        <w:rFonts w:ascii="PT Sans" w:hAnsi="PT San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0B950292"/>
    <w:multiLevelType w:val="hybridMultilevel"/>
    <w:tmpl w:val="DC7E88FA"/>
    <w:lvl w:ilvl="0" w:tplc="BC36FA2C">
      <w:start w:val="1"/>
      <w:numFmt w:val="bullet"/>
      <w:lvlText w:val=""/>
      <w:lvlJc w:val="left"/>
      <w:pPr>
        <w:tabs>
          <w:tab w:val="num" w:pos="227"/>
        </w:tabs>
        <w:ind w:left="227" w:hanging="227"/>
      </w:pPr>
      <w:rPr>
        <w:rFonts w:ascii="Symbol" w:hAnsi="Symbol" w:hint="default"/>
        <w:color w:val="006FB5"/>
        <w:sz w:val="20"/>
        <w:szCs w:val="20"/>
      </w:rPr>
    </w:lvl>
    <w:lvl w:ilvl="1" w:tplc="5BC29026">
      <w:start w:val="1"/>
      <w:numFmt w:val="bullet"/>
      <w:pStyle w:val="sottopuntielenco-"/>
      <w:lvlText w:val="-"/>
      <w:lvlJc w:val="left"/>
      <w:pPr>
        <w:tabs>
          <w:tab w:val="num" w:pos="454"/>
        </w:tabs>
        <w:ind w:left="454" w:hanging="227"/>
      </w:pPr>
      <w:rPr>
        <w:rFonts w:ascii="Times New Roman" w:hAnsi="Times New Roman" w:cs="Times New Roman" w:hint="default"/>
        <w:color w:val="auto"/>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6245C"/>
    <w:multiLevelType w:val="multilevel"/>
    <w:tmpl w:val="37285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07F69"/>
    <w:multiLevelType w:val="hybridMultilevel"/>
    <w:tmpl w:val="71AA12E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3920490"/>
    <w:multiLevelType w:val="hybridMultilevel"/>
    <w:tmpl w:val="5E0A04BE"/>
    <w:lvl w:ilvl="0" w:tplc="DF3240C8">
      <w:start w:val="1"/>
      <w:numFmt w:val="bullet"/>
      <w:pStyle w:val="testotabellapallino"/>
      <w:lvlText w:val="-"/>
      <w:lvlJc w:val="left"/>
      <w:pPr>
        <w:ind w:left="720" w:hanging="360"/>
      </w:pPr>
      <w:rPr>
        <w:rFonts w:ascii="PT Sans" w:hAnsi="PT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D83A41"/>
    <w:multiLevelType w:val="multilevel"/>
    <w:tmpl w:val="14EE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6711B5"/>
    <w:multiLevelType w:val="multilevel"/>
    <w:tmpl w:val="EEA02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F522B7"/>
    <w:multiLevelType w:val="hybridMultilevel"/>
    <w:tmpl w:val="4218E98C"/>
    <w:lvl w:ilvl="0" w:tplc="D5A47170">
      <w:start w:val="1"/>
      <w:numFmt w:val="bullet"/>
      <w:pStyle w:val="sottoparagrafo"/>
      <w:suff w:val="space"/>
      <w:lvlText w:val=""/>
      <w:lvlJc w:val="left"/>
      <w:pPr>
        <w:ind w:left="0" w:firstLine="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D1B41D6"/>
    <w:multiLevelType w:val="hybridMultilevel"/>
    <w:tmpl w:val="347A7C6E"/>
    <w:lvl w:ilvl="0" w:tplc="75C812C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6BE0BB4"/>
    <w:multiLevelType w:val="multilevel"/>
    <w:tmpl w:val="69463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B781A"/>
    <w:multiLevelType w:val="hybridMultilevel"/>
    <w:tmpl w:val="B332385A"/>
    <w:lvl w:ilvl="0" w:tplc="B602EBF0">
      <w:start w:val="1"/>
      <w:numFmt w:val="bullet"/>
      <w:pStyle w:val="puntoelencotabellapallino"/>
      <w:lvlText w:val=""/>
      <w:lvlJc w:val="left"/>
      <w:pPr>
        <w:tabs>
          <w:tab w:val="num" w:pos="454"/>
        </w:tabs>
        <w:ind w:left="454" w:hanging="227"/>
      </w:pPr>
      <w:rPr>
        <w:rFonts w:ascii="Symbol" w:hAnsi="Symbo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B70485"/>
    <w:multiLevelType w:val="hybridMultilevel"/>
    <w:tmpl w:val="5EA4411C"/>
    <w:lvl w:ilvl="0" w:tplc="3A1EE3C2">
      <w:start w:val="1"/>
      <w:numFmt w:val="bullet"/>
      <w:pStyle w:val="testopuntoelenco"/>
      <w:lvlText w:val=""/>
      <w:lvlJc w:val="left"/>
      <w:pPr>
        <w:tabs>
          <w:tab w:val="num" w:pos="227"/>
        </w:tabs>
        <w:ind w:left="227" w:hanging="227"/>
      </w:pPr>
      <w:rPr>
        <w:rFonts w:ascii="Symbol" w:hAnsi="Symbol"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693027"/>
    <w:multiLevelType w:val="hybridMultilevel"/>
    <w:tmpl w:val="CB26006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30421D12"/>
    <w:multiLevelType w:val="multilevel"/>
    <w:tmpl w:val="FEE65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7072EF"/>
    <w:multiLevelType w:val="multilevel"/>
    <w:tmpl w:val="24C2A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4D6E28"/>
    <w:multiLevelType w:val="hybridMultilevel"/>
    <w:tmpl w:val="9FF02850"/>
    <w:lvl w:ilvl="0" w:tplc="1CB6BE2E">
      <w:start w:val="1"/>
      <w:numFmt w:val="upp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7" w15:restartNumberingAfterBreak="0">
    <w:nsid w:val="3EF91E39"/>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8201C0"/>
    <w:multiLevelType w:val="multilevel"/>
    <w:tmpl w:val="ADCA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F5465F"/>
    <w:multiLevelType w:val="multilevel"/>
    <w:tmpl w:val="EBAE1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CF7AD5"/>
    <w:multiLevelType w:val="multilevel"/>
    <w:tmpl w:val="1D5829E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1B200C"/>
    <w:multiLevelType w:val="hybridMultilevel"/>
    <w:tmpl w:val="4F282A86"/>
    <w:lvl w:ilvl="0" w:tplc="99C250F4">
      <w:numFmt w:val="bullet"/>
      <w:pStyle w:val="puntielencotabella"/>
      <w:lvlText w:val="-"/>
      <w:lvlJc w:val="left"/>
      <w:pPr>
        <w:tabs>
          <w:tab w:val="num" w:pos="454"/>
        </w:tabs>
        <w:ind w:left="454" w:hanging="227"/>
      </w:pPr>
      <w:rPr>
        <w:rFonts w:ascii="Arial" w:eastAsia="ヒラギノ角ゴ Pro W3" w:hAnsi="Arial" w:cs="Aria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8FE6990"/>
    <w:multiLevelType w:val="multilevel"/>
    <w:tmpl w:val="1D500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FF376A"/>
    <w:multiLevelType w:val="multilevel"/>
    <w:tmpl w:val="2232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4448F8"/>
    <w:multiLevelType w:val="multilevel"/>
    <w:tmpl w:val="51965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C050ED"/>
    <w:multiLevelType w:val="multilevel"/>
    <w:tmpl w:val="0CFEC924"/>
    <w:lvl w:ilvl="0">
      <w:start w:val="1"/>
      <w:numFmt w:val="upperLetter"/>
      <w:lvlText w:val="%1."/>
      <w:lvlJc w:val="left"/>
      <w:pPr>
        <w:ind w:left="360" w:hanging="360"/>
      </w:pPr>
    </w:lvl>
    <w:lvl w:ilvl="1">
      <w:start w:val="1"/>
      <w:numFmt w:val="bullet"/>
      <w:lvlText w:val=""/>
      <w:lvlJc w:val="left"/>
      <w:pPr>
        <w:ind w:left="720" w:hanging="360"/>
      </w:pPr>
      <w:rPr>
        <w:rFonts w:ascii="Wingdings" w:hAnsi="Wingdings" w:hint="default"/>
        <w:color w:val="0070C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A708DC"/>
    <w:multiLevelType w:val="hybridMultilevel"/>
    <w:tmpl w:val="D79ACF1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ADD284C"/>
    <w:multiLevelType w:val="multilevel"/>
    <w:tmpl w:val="313C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D51C84"/>
    <w:multiLevelType w:val="hybridMultilevel"/>
    <w:tmpl w:val="592416EE"/>
    <w:lvl w:ilvl="0" w:tplc="76B431D0">
      <w:start w:val="1"/>
      <w:numFmt w:val="upp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9" w15:restartNumberingAfterBreak="0">
    <w:nsid w:val="643A4B25"/>
    <w:multiLevelType w:val="hybridMultilevel"/>
    <w:tmpl w:val="F0FEF56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56A609B"/>
    <w:multiLevelType w:val="multilevel"/>
    <w:tmpl w:val="E3E2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6503CD"/>
    <w:multiLevelType w:val="hybridMultilevel"/>
    <w:tmpl w:val="1D2C71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C566540"/>
    <w:multiLevelType w:val="multilevel"/>
    <w:tmpl w:val="4014C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C1BC8"/>
    <w:multiLevelType w:val="hybridMultilevel"/>
    <w:tmpl w:val="FE8AAFC8"/>
    <w:lvl w:ilvl="0" w:tplc="1BBECEB0">
      <w:start w:val="1"/>
      <w:numFmt w:val="lowerLetter"/>
      <w:pStyle w:val="puntoelencolettera"/>
      <w:lvlText w:val="%1)"/>
      <w:lvlJc w:val="left"/>
      <w:pPr>
        <w:tabs>
          <w:tab w:val="num" w:pos="227"/>
        </w:tabs>
        <w:ind w:left="227" w:hanging="227"/>
      </w:pPr>
      <w:rPr>
        <w:rFonts w:ascii="PT Sans" w:hAnsi="PT Sans"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1982473"/>
    <w:multiLevelType w:val="multilevel"/>
    <w:tmpl w:val="33D87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36A62"/>
    <w:multiLevelType w:val="hybridMultilevel"/>
    <w:tmpl w:val="EFE0FAEA"/>
    <w:lvl w:ilvl="0" w:tplc="03B4811E">
      <w:numFmt w:val="bullet"/>
      <w:pStyle w:val="puntoelencopallino"/>
      <w:suff w:val="space"/>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91041989">
    <w:abstractNumId w:val="11"/>
  </w:num>
  <w:num w:numId="2" w16cid:durableId="987977072">
    <w:abstractNumId w:val="21"/>
  </w:num>
  <w:num w:numId="3" w16cid:durableId="1097214535">
    <w:abstractNumId w:val="12"/>
  </w:num>
  <w:num w:numId="4" w16cid:durableId="257179038">
    <w:abstractNumId w:val="1"/>
  </w:num>
  <w:num w:numId="5" w16cid:durableId="1677225003">
    <w:abstractNumId w:val="33"/>
  </w:num>
  <w:num w:numId="6" w16cid:durableId="1651985475">
    <w:abstractNumId w:val="5"/>
  </w:num>
  <w:num w:numId="7" w16cid:durableId="1181773558">
    <w:abstractNumId w:val="0"/>
  </w:num>
  <w:num w:numId="8" w16cid:durableId="1554341404">
    <w:abstractNumId w:val="35"/>
  </w:num>
  <w:num w:numId="9" w16cid:durableId="1144809138">
    <w:abstractNumId w:val="2"/>
  </w:num>
  <w:num w:numId="10" w16cid:durableId="1353646939">
    <w:abstractNumId w:val="8"/>
  </w:num>
  <w:num w:numId="11" w16cid:durableId="687871118">
    <w:abstractNumId w:val="10"/>
  </w:num>
  <w:num w:numId="12" w16cid:durableId="582567286">
    <w:abstractNumId w:val="20"/>
  </w:num>
  <w:num w:numId="13" w16cid:durableId="698623460">
    <w:abstractNumId w:val="18"/>
  </w:num>
  <w:num w:numId="14" w16cid:durableId="1531725123">
    <w:abstractNumId w:val="23"/>
  </w:num>
  <w:num w:numId="15" w16cid:durableId="126819844">
    <w:abstractNumId w:val="30"/>
  </w:num>
  <w:num w:numId="16" w16cid:durableId="835728162">
    <w:abstractNumId w:val="15"/>
  </w:num>
  <w:num w:numId="17" w16cid:durableId="789588258">
    <w:abstractNumId w:val="3"/>
  </w:num>
  <w:num w:numId="18" w16cid:durableId="1870294446">
    <w:abstractNumId w:val="29"/>
  </w:num>
  <w:num w:numId="19" w16cid:durableId="1735346509">
    <w:abstractNumId w:val="26"/>
  </w:num>
  <w:num w:numId="20" w16cid:durableId="236210171">
    <w:abstractNumId w:val="4"/>
  </w:num>
  <w:num w:numId="21" w16cid:durableId="159277484">
    <w:abstractNumId w:val="24"/>
  </w:num>
  <w:num w:numId="22" w16cid:durableId="777414018">
    <w:abstractNumId w:val="19"/>
  </w:num>
  <w:num w:numId="23" w16cid:durableId="1376467428">
    <w:abstractNumId w:val="6"/>
  </w:num>
  <w:num w:numId="24" w16cid:durableId="1068385316">
    <w:abstractNumId w:val="14"/>
  </w:num>
  <w:num w:numId="25" w16cid:durableId="1828856432">
    <w:abstractNumId w:val="32"/>
  </w:num>
  <w:num w:numId="26" w16cid:durableId="297145951">
    <w:abstractNumId w:val="22"/>
  </w:num>
  <w:num w:numId="27" w16cid:durableId="1836802402">
    <w:abstractNumId w:val="34"/>
  </w:num>
  <w:num w:numId="28" w16cid:durableId="206576456">
    <w:abstractNumId w:val="27"/>
  </w:num>
  <w:num w:numId="29" w16cid:durableId="101918289">
    <w:abstractNumId w:val="7"/>
  </w:num>
  <w:num w:numId="30" w16cid:durableId="1470125140">
    <w:abstractNumId w:val="31"/>
  </w:num>
  <w:num w:numId="31" w16cid:durableId="1863282936">
    <w:abstractNumId w:val="13"/>
  </w:num>
  <w:num w:numId="32" w16cid:durableId="1626083912">
    <w:abstractNumId w:val="16"/>
  </w:num>
  <w:num w:numId="33" w16cid:durableId="1153377086">
    <w:abstractNumId w:val="28"/>
  </w:num>
  <w:num w:numId="34" w16cid:durableId="1487629701">
    <w:abstractNumId w:val="25"/>
  </w:num>
  <w:num w:numId="35" w16cid:durableId="939947887">
    <w:abstractNumId w:val="17"/>
  </w:num>
  <w:num w:numId="36" w16cid:durableId="110059200">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3" w:dllVersion="517" w:checkStyle="1"/>
  <w:proofState w:spelling="clean" w:grammar="clean"/>
  <w:documentProtection w:edit="readOnly" w:formatting="1" w:enforcement="1" w:cryptProviderType="rsaAES" w:cryptAlgorithmClass="hash" w:cryptAlgorithmType="typeAny" w:cryptAlgorithmSid="14" w:cryptSpinCount="100000" w:hash="tnp4WU6Iv1HrTL/H8dHDdSk5+SFFdkENX/i0o5OX+vU7nalux/w0pTYMcIuYfK3ra+62V/7wevyOJ1YWnTWfwg==" w:salt="KZJt+CSn8Ptj8J5id54SGg=="/>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67"/>
    <w:rsid w:val="0000779C"/>
    <w:rsid w:val="00026059"/>
    <w:rsid w:val="00026F9E"/>
    <w:rsid w:val="000270DE"/>
    <w:rsid w:val="0003460C"/>
    <w:rsid w:val="00036E1D"/>
    <w:rsid w:val="00037FF6"/>
    <w:rsid w:val="000430BE"/>
    <w:rsid w:val="000472C2"/>
    <w:rsid w:val="00047F12"/>
    <w:rsid w:val="000840F1"/>
    <w:rsid w:val="000848E9"/>
    <w:rsid w:val="000901CC"/>
    <w:rsid w:val="000910FA"/>
    <w:rsid w:val="000926FA"/>
    <w:rsid w:val="000A0C07"/>
    <w:rsid w:val="000B3C7E"/>
    <w:rsid w:val="000B43A5"/>
    <w:rsid w:val="000B4B7F"/>
    <w:rsid w:val="000B580F"/>
    <w:rsid w:val="000B5D84"/>
    <w:rsid w:val="000B63B7"/>
    <w:rsid w:val="000C05A1"/>
    <w:rsid w:val="000C1C25"/>
    <w:rsid w:val="000C4439"/>
    <w:rsid w:val="000C54CF"/>
    <w:rsid w:val="000C6500"/>
    <w:rsid w:val="000D6401"/>
    <w:rsid w:val="000E2C9D"/>
    <w:rsid w:val="000F6DCB"/>
    <w:rsid w:val="000F6E9D"/>
    <w:rsid w:val="0010146E"/>
    <w:rsid w:val="00102C17"/>
    <w:rsid w:val="00105D10"/>
    <w:rsid w:val="00107E26"/>
    <w:rsid w:val="00110BD4"/>
    <w:rsid w:val="001135AC"/>
    <w:rsid w:val="00113816"/>
    <w:rsid w:val="00123141"/>
    <w:rsid w:val="00134722"/>
    <w:rsid w:val="001359B8"/>
    <w:rsid w:val="001376AB"/>
    <w:rsid w:val="00140187"/>
    <w:rsid w:val="001412AF"/>
    <w:rsid w:val="00142996"/>
    <w:rsid w:val="0014633A"/>
    <w:rsid w:val="0015231F"/>
    <w:rsid w:val="00152805"/>
    <w:rsid w:val="00155A5B"/>
    <w:rsid w:val="001659BB"/>
    <w:rsid w:val="00166193"/>
    <w:rsid w:val="001700D8"/>
    <w:rsid w:val="00172DCA"/>
    <w:rsid w:val="00180022"/>
    <w:rsid w:val="00190ECE"/>
    <w:rsid w:val="001A0CC5"/>
    <w:rsid w:val="001A1EA1"/>
    <w:rsid w:val="001B1C01"/>
    <w:rsid w:val="001B4D92"/>
    <w:rsid w:val="001C2EF5"/>
    <w:rsid w:val="001C3164"/>
    <w:rsid w:val="001C38BE"/>
    <w:rsid w:val="001C47B3"/>
    <w:rsid w:val="001C4EFC"/>
    <w:rsid w:val="001C5072"/>
    <w:rsid w:val="001C759D"/>
    <w:rsid w:val="001C7C1C"/>
    <w:rsid w:val="001C7D8D"/>
    <w:rsid w:val="001D5372"/>
    <w:rsid w:val="001E0F62"/>
    <w:rsid w:val="001E1776"/>
    <w:rsid w:val="001F0405"/>
    <w:rsid w:val="001F26A6"/>
    <w:rsid w:val="001F6B44"/>
    <w:rsid w:val="0020051E"/>
    <w:rsid w:val="002053AD"/>
    <w:rsid w:val="00214884"/>
    <w:rsid w:val="0021681E"/>
    <w:rsid w:val="002215B4"/>
    <w:rsid w:val="0022294C"/>
    <w:rsid w:val="00231C88"/>
    <w:rsid w:val="00232189"/>
    <w:rsid w:val="0023371D"/>
    <w:rsid w:val="002359D2"/>
    <w:rsid w:val="0023774D"/>
    <w:rsid w:val="00243057"/>
    <w:rsid w:val="00243BBE"/>
    <w:rsid w:val="0024558D"/>
    <w:rsid w:val="00245EEC"/>
    <w:rsid w:val="00255861"/>
    <w:rsid w:val="0026714D"/>
    <w:rsid w:val="002728C1"/>
    <w:rsid w:val="0028191B"/>
    <w:rsid w:val="00282E0C"/>
    <w:rsid w:val="00284139"/>
    <w:rsid w:val="00290BDE"/>
    <w:rsid w:val="00291ED7"/>
    <w:rsid w:val="0029290E"/>
    <w:rsid w:val="00292DD8"/>
    <w:rsid w:val="00293EAE"/>
    <w:rsid w:val="002A0F58"/>
    <w:rsid w:val="002A4120"/>
    <w:rsid w:val="002A43BF"/>
    <w:rsid w:val="002A4830"/>
    <w:rsid w:val="002A65AF"/>
    <w:rsid w:val="002C0CE6"/>
    <w:rsid w:val="002C5463"/>
    <w:rsid w:val="002D0328"/>
    <w:rsid w:val="002D05A2"/>
    <w:rsid w:val="002D19C1"/>
    <w:rsid w:val="002D6263"/>
    <w:rsid w:val="002F0E91"/>
    <w:rsid w:val="002F1720"/>
    <w:rsid w:val="002F1BF9"/>
    <w:rsid w:val="003026EB"/>
    <w:rsid w:val="00304B89"/>
    <w:rsid w:val="00306A48"/>
    <w:rsid w:val="00311B47"/>
    <w:rsid w:val="00312C56"/>
    <w:rsid w:val="00333DFF"/>
    <w:rsid w:val="003353C7"/>
    <w:rsid w:val="0033586F"/>
    <w:rsid w:val="00335B59"/>
    <w:rsid w:val="00335BA2"/>
    <w:rsid w:val="00340F4B"/>
    <w:rsid w:val="00352742"/>
    <w:rsid w:val="00367D0C"/>
    <w:rsid w:val="003846FF"/>
    <w:rsid w:val="00385DD0"/>
    <w:rsid w:val="0039156A"/>
    <w:rsid w:val="003932BE"/>
    <w:rsid w:val="00395991"/>
    <w:rsid w:val="003974EB"/>
    <w:rsid w:val="003A3C6C"/>
    <w:rsid w:val="003A4D62"/>
    <w:rsid w:val="003A7682"/>
    <w:rsid w:val="003A78A9"/>
    <w:rsid w:val="003B1FB7"/>
    <w:rsid w:val="003B7DFA"/>
    <w:rsid w:val="003C0BAE"/>
    <w:rsid w:val="003C3067"/>
    <w:rsid w:val="003C52AC"/>
    <w:rsid w:val="003C5F96"/>
    <w:rsid w:val="003C79CC"/>
    <w:rsid w:val="003C7BBB"/>
    <w:rsid w:val="003D0B11"/>
    <w:rsid w:val="003D7D3D"/>
    <w:rsid w:val="003E580D"/>
    <w:rsid w:val="003E5E27"/>
    <w:rsid w:val="003F5570"/>
    <w:rsid w:val="003F5EB9"/>
    <w:rsid w:val="00404F7F"/>
    <w:rsid w:val="00420BBB"/>
    <w:rsid w:val="004228C1"/>
    <w:rsid w:val="00424620"/>
    <w:rsid w:val="00426082"/>
    <w:rsid w:val="00442F6D"/>
    <w:rsid w:val="00446260"/>
    <w:rsid w:val="00450098"/>
    <w:rsid w:val="00464DCB"/>
    <w:rsid w:val="00466F1A"/>
    <w:rsid w:val="004674B0"/>
    <w:rsid w:val="0047647D"/>
    <w:rsid w:val="00482772"/>
    <w:rsid w:val="00483A9B"/>
    <w:rsid w:val="0049187B"/>
    <w:rsid w:val="004A1D05"/>
    <w:rsid w:val="004A2420"/>
    <w:rsid w:val="004A591F"/>
    <w:rsid w:val="004A5DD2"/>
    <w:rsid w:val="004B4362"/>
    <w:rsid w:val="004C0490"/>
    <w:rsid w:val="004C35B6"/>
    <w:rsid w:val="004D0EC5"/>
    <w:rsid w:val="004E5143"/>
    <w:rsid w:val="004E5C52"/>
    <w:rsid w:val="004F2F54"/>
    <w:rsid w:val="004F4637"/>
    <w:rsid w:val="00504B18"/>
    <w:rsid w:val="00504CED"/>
    <w:rsid w:val="00507CEF"/>
    <w:rsid w:val="00511543"/>
    <w:rsid w:val="00511669"/>
    <w:rsid w:val="00513D14"/>
    <w:rsid w:val="00514F28"/>
    <w:rsid w:val="00521CE8"/>
    <w:rsid w:val="00525FE6"/>
    <w:rsid w:val="00543F0C"/>
    <w:rsid w:val="00547BA1"/>
    <w:rsid w:val="00551720"/>
    <w:rsid w:val="00551D4C"/>
    <w:rsid w:val="0055339D"/>
    <w:rsid w:val="005541E4"/>
    <w:rsid w:val="00557188"/>
    <w:rsid w:val="00557EBB"/>
    <w:rsid w:val="00565A73"/>
    <w:rsid w:val="005665B5"/>
    <w:rsid w:val="0056692D"/>
    <w:rsid w:val="00566AAA"/>
    <w:rsid w:val="00572680"/>
    <w:rsid w:val="00575B20"/>
    <w:rsid w:val="005824DA"/>
    <w:rsid w:val="00584D60"/>
    <w:rsid w:val="00595DA3"/>
    <w:rsid w:val="00596215"/>
    <w:rsid w:val="00596C2E"/>
    <w:rsid w:val="005A004F"/>
    <w:rsid w:val="005A21D5"/>
    <w:rsid w:val="005A2B49"/>
    <w:rsid w:val="005A3D41"/>
    <w:rsid w:val="005B4F30"/>
    <w:rsid w:val="005B753E"/>
    <w:rsid w:val="005C7BB8"/>
    <w:rsid w:val="005C7CA2"/>
    <w:rsid w:val="005E1A6B"/>
    <w:rsid w:val="005F3A06"/>
    <w:rsid w:val="006013E6"/>
    <w:rsid w:val="00606E1E"/>
    <w:rsid w:val="00607DB6"/>
    <w:rsid w:val="006125C9"/>
    <w:rsid w:val="006150FE"/>
    <w:rsid w:val="00622D38"/>
    <w:rsid w:val="00630A97"/>
    <w:rsid w:val="00634A39"/>
    <w:rsid w:val="0063576C"/>
    <w:rsid w:val="00637124"/>
    <w:rsid w:val="00640192"/>
    <w:rsid w:val="00655160"/>
    <w:rsid w:val="00655C88"/>
    <w:rsid w:val="006723A7"/>
    <w:rsid w:val="006776A5"/>
    <w:rsid w:val="00677AC6"/>
    <w:rsid w:val="00683D3A"/>
    <w:rsid w:val="0069088C"/>
    <w:rsid w:val="0069109D"/>
    <w:rsid w:val="006943A0"/>
    <w:rsid w:val="00697253"/>
    <w:rsid w:val="006A2CAC"/>
    <w:rsid w:val="006A6B06"/>
    <w:rsid w:val="006C0C23"/>
    <w:rsid w:val="006C6C98"/>
    <w:rsid w:val="006C7917"/>
    <w:rsid w:val="006D1E44"/>
    <w:rsid w:val="006D3DC2"/>
    <w:rsid w:val="006E7839"/>
    <w:rsid w:val="006F10E1"/>
    <w:rsid w:val="006F1FBC"/>
    <w:rsid w:val="006F2E08"/>
    <w:rsid w:val="006F734A"/>
    <w:rsid w:val="007014E5"/>
    <w:rsid w:val="0070698B"/>
    <w:rsid w:val="0072167C"/>
    <w:rsid w:val="00733737"/>
    <w:rsid w:val="007373B6"/>
    <w:rsid w:val="00742651"/>
    <w:rsid w:val="007436AE"/>
    <w:rsid w:val="00743C4B"/>
    <w:rsid w:val="00744F41"/>
    <w:rsid w:val="007458D2"/>
    <w:rsid w:val="00750406"/>
    <w:rsid w:val="00750925"/>
    <w:rsid w:val="00761F64"/>
    <w:rsid w:val="00770810"/>
    <w:rsid w:val="00775E91"/>
    <w:rsid w:val="00782875"/>
    <w:rsid w:val="00790D76"/>
    <w:rsid w:val="00794541"/>
    <w:rsid w:val="00795D7A"/>
    <w:rsid w:val="007B41FF"/>
    <w:rsid w:val="007C062D"/>
    <w:rsid w:val="007C10B3"/>
    <w:rsid w:val="007C73F2"/>
    <w:rsid w:val="007D5F90"/>
    <w:rsid w:val="007D6B6A"/>
    <w:rsid w:val="007E2EDF"/>
    <w:rsid w:val="007E754C"/>
    <w:rsid w:val="007F4CE1"/>
    <w:rsid w:val="0080231B"/>
    <w:rsid w:val="00807894"/>
    <w:rsid w:val="00815DF5"/>
    <w:rsid w:val="0082158E"/>
    <w:rsid w:val="00821A63"/>
    <w:rsid w:val="00822525"/>
    <w:rsid w:val="008240DD"/>
    <w:rsid w:val="00824168"/>
    <w:rsid w:val="008271E4"/>
    <w:rsid w:val="008338C2"/>
    <w:rsid w:val="00840DB4"/>
    <w:rsid w:val="008443EA"/>
    <w:rsid w:val="00844D4D"/>
    <w:rsid w:val="00850DD7"/>
    <w:rsid w:val="0085273D"/>
    <w:rsid w:val="00855CE4"/>
    <w:rsid w:val="00860D99"/>
    <w:rsid w:val="00864568"/>
    <w:rsid w:val="00866EE9"/>
    <w:rsid w:val="00867A52"/>
    <w:rsid w:val="008723F7"/>
    <w:rsid w:val="00872C90"/>
    <w:rsid w:val="00882331"/>
    <w:rsid w:val="00882504"/>
    <w:rsid w:val="0088303E"/>
    <w:rsid w:val="0089004D"/>
    <w:rsid w:val="00896A94"/>
    <w:rsid w:val="00897EF8"/>
    <w:rsid w:val="008A230A"/>
    <w:rsid w:val="008D1B1B"/>
    <w:rsid w:val="008D21FC"/>
    <w:rsid w:val="008D4EFA"/>
    <w:rsid w:val="008D5C36"/>
    <w:rsid w:val="008E0973"/>
    <w:rsid w:val="008E1080"/>
    <w:rsid w:val="008E15B8"/>
    <w:rsid w:val="008E6D99"/>
    <w:rsid w:val="008F12F0"/>
    <w:rsid w:val="008F462E"/>
    <w:rsid w:val="00904610"/>
    <w:rsid w:val="00912A70"/>
    <w:rsid w:val="009216FE"/>
    <w:rsid w:val="00921742"/>
    <w:rsid w:val="00927352"/>
    <w:rsid w:val="00940D8D"/>
    <w:rsid w:val="009413F3"/>
    <w:rsid w:val="00945767"/>
    <w:rsid w:val="0094713E"/>
    <w:rsid w:val="00950FC7"/>
    <w:rsid w:val="0095743F"/>
    <w:rsid w:val="0096354C"/>
    <w:rsid w:val="009641C0"/>
    <w:rsid w:val="00964AE0"/>
    <w:rsid w:val="00970D83"/>
    <w:rsid w:val="00973749"/>
    <w:rsid w:val="00976E72"/>
    <w:rsid w:val="00982C44"/>
    <w:rsid w:val="0098481E"/>
    <w:rsid w:val="00994CBD"/>
    <w:rsid w:val="009A0CCB"/>
    <w:rsid w:val="009A5DB2"/>
    <w:rsid w:val="009B1BA0"/>
    <w:rsid w:val="009B278A"/>
    <w:rsid w:val="009B36DE"/>
    <w:rsid w:val="009C0F7E"/>
    <w:rsid w:val="009C21B8"/>
    <w:rsid w:val="009C4197"/>
    <w:rsid w:val="009D4657"/>
    <w:rsid w:val="009D7D9A"/>
    <w:rsid w:val="009E2F29"/>
    <w:rsid w:val="009E5CC4"/>
    <w:rsid w:val="009F2945"/>
    <w:rsid w:val="009F65B1"/>
    <w:rsid w:val="009F6CFC"/>
    <w:rsid w:val="009F6E12"/>
    <w:rsid w:val="00A02BDC"/>
    <w:rsid w:val="00A073EB"/>
    <w:rsid w:val="00A10365"/>
    <w:rsid w:val="00A134DE"/>
    <w:rsid w:val="00A16C49"/>
    <w:rsid w:val="00A16F17"/>
    <w:rsid w:val="00A219C3"/>
    <w:rsid w:val="00A23382"/>
    <w:rsid w:val="00A24939"/>
    <w:rsid w:val="00A254DA"/>
    <w:rsid w:val="00A25BC4"/>
    <w:rsid w:val="00A372DC"/>
    <w:rsid w:val="00A507A2"/>
    <w:rsid w:val="00A567B7"/>
    <w:rsid w:val="00A674C2"/>
    <w:rsid w:val="00A725FF"/>
    <w:rsid w:val="00A72FF2"/>
    <w:rsid w:val="00A8135A"/>
    <w:rsid w:val="00A85645"/>
    <w:rsid w:val="00A90499"/>
    <w:rsid w:val="00A92404"/>
    <w:rsid w:val="00A97AEC"/>
    <w:rsid w:val="00AA1FAB"/>
    <w:rsid w:val="00AA2E2A"/>
    <w:rsid w:val="00AA3760"/>
    <w:rsid w:val="00AA5E88"/>
    <w:rsid w:val="00AB0B17"/>
    <w:rsid w:val="00AB2213"/>
    <w:rsid w:val="00AC1117"/>
    <w:rsid w:val="00AD5639"/>
    <w:rsid w:val="00AE14F2"/>
    <w:rsid w:val="00AE1FBA"/>
    <w:rsid w:val="00AE4805"/>
    <w:rsid w:val="00AE6070"/>
    <w:rsid w:val="00AF164E"/>
    <w:rsid w:val="00AF1C33"/>
    <w:rsid w:val="00AF28E3"/>
    <w:rsid w:val="00AF78EC"/>
    <w:rsid w:val="00B0077B"/>
    <w:rsid w:val="00B010A5"/>
    <w:rsid w:val="00B0581E"/>
    <w:rsid w:val="00B07CE5"/>
    <w:rsid w:val="00B123D2"/>
    <w:rsid w:val="00B20216"/>
    <w:rsid w:val="00B20371"/>
    <w:rsid w:val="00B30F86"/>
    <w:rsid w:val="00B32748"/>
    <w:rsid w:val="00B340D8"/>
    <w:rsid w:val="00B47BC2"/>
    <w:rsid w:val="00B504ED"/>
    <w:rsid w:val="00B62DA0"/>
    <w:rsid w:val="00B66A03"/>
    <w:rsid w:val="00B813B5"/>
    <w:rsid w:val="00B81A72"/>
    <w:rsid w:val="00B857C6"/>
    <w:rsid w:val="00B86AB6"/>
    <w:rsid w:val="00B96E56"/>
    <w:rsid w:val="00B97363"/>
    <w:rsid w:val="00BA2262"/>
    <w:rsid w:val="00BA7D94"/>
    <w:rsid w:val="00BB63F8"/>
    <w:rsid w:val="00BB6C90"/>
    <w:rsid w:val="00BC34D8"/>
    <w:rsid w:val="00BD338D"/>
    <w:rsid w:val="00BD58AC"/>
    <w:rsid w:val="00BD5B6D"/>
    <w:rsid w:val="00BE1AA4"/>
    <w:rsid w:val="00BE5689"/>
    <w:rsid w:val="00BE5C0F"/>
    <w:rsid w:val="00BE62A3"/>
    <w:rsid w:val="00BF0236"/>
    <w:rsid w:val="00BF7197"/>
    <w:rsid w:val="00C018C4"/>
    <w:rsid w:val="00C02A47"/>
    <w:rsid w:val="00C0798A"/>
    <w:rsid w:val="00C14973"/>
    <w:rsid w:val="00C217B2"/>
    <w:rsid w:val="00C23DAF"/>
    <w:rsid w:val="00C24D25"/>
    <w:rsid w:val="00C27CD4"/>
    <w:rsid w:val="00C30252"/>
    <w:rsid w:val="00C314E4"/>
    <w:rsid w:val="00C320E8"/>
    <w:rsid w:val="00C36F3E"/>
    <w:rsid w:val="00C41606"/>
    <w:rsid w:val="00C45619"/>
    <w:rsid w:val="00C53AE8"/>
    <w:rsid w:val="00C60172"/>
    <w:rsid w:val="00C61043"/>
    <w:rsid w:val="00C61B15"/>
    <w:rsid w:val="00C61F6E"/>
    <w:rsid w:val="00C67EF5"/>
    <w:rsid w:val="00C7391D"/>
    <w:rsid w:val="00C77D7D"/>
    <w:rsid w:val="00C81201"/>
    <w:rsid w:val="00C82DD6"/>
    <w:rsid w:val="00C83730"/>
    <w:rsid w:val="00C867A6"/>
    <w:rsid w:val="00C87EDB"/>
    <w:rsid w:val="00C91E15"/>
    <w:rsid w:val="00C9355F"/>
    <w:rsid w:val="00C97405"/>
    <w:rsid w:val="00CA06CB"/>
    <w:rsid w:val="00CA3E44"/>
    <w:rsid w:val="00CA4B8E"/>
    <w:rsid w:val="00CB4BA3"/>
    <w:rsid w:val="00CC3A8A"/>
    <w:rsid w:val="00CC448F"/>
    <w:rsid w:val="00CD07D1"/>
    <w:rsid w:val="00CD3CBD"/>
    <w:rsid w:val="00CD56FA"/>
    <w:rsid w:val="00CD5FFF"/>
    <w:rsid w:val="00CE5CD1"/>
    <w:rsid w:val="00CF202A"/>
    <w:rsid w:val="00CF3189"/>
    <w:rsid w:val="00CF46A9"/>
    <w:rsid w:val="00CF652A"/>
    <w:rsid w:val="00CF67E1"/>
    <w:rsid w:val="00CF7313"/>
    <w:rsid w:val="00D07C93"/>
    <w:rsid w:val="00D12D8B"/>
    <w:rsid w:val="00D13550"/>
    <w:rsid w:val="00D2019D"/>
    <w:rsid w:val="00D23BF5"/>
    <w:rsid w:val="00D375A3"/>
    <w:rsid w:val="00D442DA"/>
    <w:rsid w:val="00D460E9"/>
    <w:rsid w:val="00D5010D"/>
    <w:rsid w:val="00D57C0B"/>
    <w:rsid w:val="00D63D3C"/>
    <w:rsid w:val="00D71DE7"/>
    <w:rsid w:val="00D7207B"/>
    <w:rsid w:val="00D738E8"/>
    <w:rsid w:val="00D76775"/>
    <w:rsid w:val="00D77905"/>
    <w:rsid w:val="00D80C93"/>
    <w:rsid w:val="00D83188"/>
    <w:rsid w:val="00D87BA4"/>
    <w:rsid w:val="00D91F2D"/>
    <w:rsid w:val="00D94856"/>
    <w:rsid w:val="00DA06A7"/>
    <w:rsid w:val="00DA56C5"/>
    <w:rsid w:val="00DA5E95"/>
    <w:rsid w:val="00DA644F"/>
    <w:rsid w:val="00DB1546"/>
    <w:rsid w:val="00DB1B10"/>
    <w:rsid w:val="00DB6E40"/>
    <w:rsid w:val="00DC2FEE"/>
    <w:rsid w:val="00DC6BE4"/>
    <w:rsid w:val="00DD08EC"/>
    <w:rsid w:val="00DD4BAC"/>
    <w:rsid w:val="00DF181F"/>
    <w:rsid w:val="00DF2417"/>
    <w:rsid w:val="00DF2B99"/>
    <w:rsid w:val="00DF75F3"/>
    <w:rsid w:val="00E03A09"/>
    <w:rsid w:val="00E04341"/>
    <w:rsid w:val="00E206D4"/>
    <w:rsid w:val="00E21FF9"/>
    <w:rsid w:val="00E27045"/>
    <w:rsid w:val="00E327EE"/>
    <w:rsid w:val="00E4153A"/>
    <w:rsid w:val="00E524DA"/>
    <w:rsid w:val="00E54787"/>
    <w:rsid w:val="00E54955"/>
    <w:rsid w:val="00E67511"/>
    <w:rsid w:val="00E67A61"/>
    <w:rsid w:val="00E70229"/>
    <w:rsid w:val="00E727F6"/>
    <w:rsid w:val="00E73D68"/>
    <w:rsid w:val="00E802A3"/>
    <w:rsid w:val="00E84B5E"/>
    <w:rsid w:val="00E87A60"/>
    <w:rsid w:val="00E90F14"/>
    <w:rsid w:val="00E95CB2"/>
    <w:rsid w:val="00EB0425"/>
    <w:rsid w:val="00EB0717"/>
    <w:rsid w:val="00EB0C92"/>
    <w:rsid w:val="00EB6DD6"/>
    <w:rsid w:val="00EC05CE"/>
    <w:rsid w:val="00EC38BC"/>
    <w:rsid w:val="00EC6FF1"/>
    <w:rsid w:val="00ED1254"/>
    <w:rsid w:val="00ED2D8E"/>
    <w:rsid w:val="00ED5575"/>
    <w:rsid w:val="00ED5E70"/>
    <w:rsid w:val="00ED6971"/>
    <w:rsid w:val="00EE06AE"/>
    <w:rsid w:val="00EE0EBF"/>
    <w:rsid w:val="00EE35C8"/>
    <w:rsid w:val="00EE361D"/>
    <w:rsid w:val="00EE55B2"/>
    <w:rsid w:val="00EE78AF"/>
    <w:rsid w:val="00EF4767"/>
    <w:rsid w:val="00F00A31"/>
    <w:rsid w:val="00F046D5"/>
    <w:rsid w:val="00F047DF"/>
    <w:rsid w:val="00F07340"/>
    <w:rsid w:val="00F10200"/>
    <w:rsid w:val="00F10B81"/>
    <w:rsid w:val="00F11C81"/>
    <w:rsid w:val="00F14F0F"/>
    <w:rsid w:val="00F23168"/>
    <w:rsid w:val="00F24EAD"/>
    <w:rsid w:val="00F356B6"/>
    <w:rsid w:val="00F452E8"/>
    <w:rsid w:val="00F504D9"/>
    <w:rsid w:val="00F537B3"/>
    <w:rsid w:val="00F5469A"/>
    <w:rsid w:val="00F56240"/>
    <w:rsid w:val="00F57F95"/>
    <w:rsid w:val="00F6291C"/>
    <w:rsid w:val="00F670E0"/>
    <w:rsid w:val="00F717B6"/>
    <w:rsid w:val="00F83558"/>
    <w:rsid w:val="00F86DB9"/>
    <w:rsid w:val="00F92DBA"/>
    <w:rsid w:val="00F9552F"/>
    <w:rsid w:val="00F97E3A"/>
    <w:rsid w:val="00FA11BF"/>
    <w:rsid w:val="00FA33C0"/>
    <w:rsid w:val="00FB15B9"/>
    <w:rsid w:val="00FB16AD"/>
    <w:rsid w:val="00FB7856"/>
    <w:rsid w:val="00FC141B"/>
    <w:rsid w:val="00FD196B"/>
    <w:rsid w:val="00FE0692"/>
    <w:rsid w:val="00FE22D1"/>
    <w:rsid w:val="00FE6132"/>
    <w:rsid w:val="00FE6E69"/>
    <w:rsid w:val="00FF37F9"/>
    <w:rsid w:val="00FF4E73"/>
    <w:rsid w:val="00FF720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D8C64"/>
  <w15:docId w15:val="{0A86834E-7BF5-45F1-B13E-0D1AE68A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F12"/>
    <w:pPr>
      <w:spacing w:after="0"/>
      <w:ind w:left="1077"/>
      <w:jc w:val="both"/>
    </w:pPr>
    <w:rPr>
      <w:rFonts w:ascii="Calibri" w:eastAsia="Calibri" w:hAnsi="Calibri"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3C3067"/>
    <w:pPr>
      <w:tabs>
        <w:tab w:val="center" w:pos="4819"/>
        <w:tab w:val="right" w:pos="9638"/>
      </w:tabs>
    </w:pPr>
  </w:style>
  <w:style w:type="character" w:customStyle="1" w:styleId="IntestazioneCarattere">
    <w:name w:val="Intestazione Carattere"/>
    <w:basedOn w:val="Carpredefinitoparagrafo"/>
    <w:link w:val="Intestazione"/>
    <w:rsid w:val="003C3067"/>
  </w:style>
  <w:style w:type="paragraph" w:styleId="Pidipagina">
    <w:name w:val="footer"/>
    <w:basedOn w:val="Normale"/>
    <w:link w:val="PidipaginaCarattere"/>
    <w:unhideWhenUsed/>
    <w:rsid w:val="003C3067"/>
    <w:pPr>
      <w:tabs>
        <w:tab w:val="center" w:pos="4819"/>
        <w:tab w:val="right" w:pos="9638"/>
      </w:tabs>
    </w:pPr>
  </w:style>
  <w:style w:type="character" w:customStyle="1" w:styleId="PidipaginaCarattere">
    <w:name w:val="Piè di pagina Carattere"/>
    <w:basedOn w:val="Carpredefinitoparagrafo"/>
    <w:link w:val="Pidipagina"/>
    <w:rsid w:val="003C3067"/>
  </w:style>
  <w:style w:type="paragraph" w:styleId="Testofumetto">
    <w:name w:val="Balloon Text"/>
    <w:basedOn w:val="Normale"/>
    <w:link w:val="TestofumettoCarattere"/>
    <w:unhideWhenUsed/>
    <w:rsid w:val="003C3067"/>
    <w:rPr>
      <w:rFonts w:ascii="Lucida Grande" w:hAnsi="Lucida Grande"/>
      <w:sz w:val="18"/>
      <w:szCs w:val="18"/>
    </w:rPr>
  </w:style>
  <w:style w:type="character" w:customStyle="1" w:styleId="TestofumettoCarattere">
    <w:name w:val="Testo fumetto Carattere"/>
    <w:basedOn w:val="Carpredefinitoparagrafo"/>
    <w:link w:val="Testofumetto"/>
    <w:rsid w:val="003C3067"/>
    <w:rPr>
      <w:rFonts w:ascii="Lucida Grande" w:hAnsi="Lucida Grande"/>
      <w:sz w:val="18"/>
      <w:szCs w:val="18"/>
    </w:rPr>
  </w:style>
  <w:style w:type="paragraph" w:styleId="NormaleWeb">
    <w:name w:val="Normal (Web)"/>
    <w:basedOn w:val="Normale"/>
    <w:uiPriority w:val="99"/>
    <w:semiHidden/>
    <w:unhideWhenUsed/>
    <w:rsid w:val="003C3067"/>
    <w:pPr>
      <w:spacing w:before="100" w:beforeAutospacing="1" w:after="100" w:afterAutospacing="1"/>
    </w:pPr>
    <w:rPr>
      <w:rFonts w:ascii="Times" w:hAnsi="Times"/>
      <w:sz w:val="20"/>
      <w:szCs w:val="20"/>
      <w:lang w:eastAsia="it-IT"/>
    </w:rPr>
  </w:style>
  <w:style w:type="paragraph" w:customStyle="1" w:styleId="titoloinformativa">
    <w:name w:val="titolo informativa"/>
    <w:rsid w:val="00557188"/>
    <w:pPr>
      <w:spacing w:after="0" w:line="320" w:lineRule="exact"/>
      <w:jc w:val="center"/>
    </w:pPr>
    <w:rPr>
      <w:rFonts w:ascii="PT Sans" w:eastAsia="Times New Roman" w:hAnsi="PT Sans" w:cs="Times New Roman"/>
      <w:b/>
      <w:bCs/>
      <w:szCs w:val="20"/>
      <w:lang w:eastAsia="it-IT"/>
    </w:rPr>
  </w:style>
  <w:style w:type="paragraph" w:customStyle="1" w:styleId="corpotestoinformativa">
    <w:name w:val="corpo testo informativa"/>
    <w:link w:val="corpotestoinformativaCarattere"/>
    <w:rsid w:val="00557188"/>
    <w:pPr>
      <w:spacing w:after="0" w:line="320" w:lineRule="exact"/>
      <w:jc w:val="both"/>
    </w:pPr>
    <w:rPr>
      <w:rFonts w:ascii="PT Sans" w:eastAsia="Times New Roman" w:hAnsi="PT Sans" w:cs="Times New Roman"/>
      <w:sz w:val="22"/>
      <w:szCs w:val="20"/>
      <w:lang w:eastAsia="it-IT"/>
    </w:rPr>
  </w:style>
  <w:style w:type="character" w:customStyle="1" w:styleId="firma">
    <w:name w:val="firma"/>
    <w:rsid w:val="00557188"/>
    <w:rPr>
      <w:rFonts w:ascii="PT Sans" w:hAnsi="PT Sans"/>
      <w:b/>
      <w:bCs/>
      <w:i/>
      <w:iCs/>
    </w:rPr>
  </w:style>
  <w:style w:type="paragraph" w:customStyle="1" w:styleId="xmsonormal">
    <w:name w:val="x_msonormal"/>
    <w:basedOn w:val="Normale"/>
    <w:rsid w:val="003C52AC"/>
    <w:pPr>
      <w:spacing w:before="100" w:beforeAutospacing="1" w:after="100" w:afterAutospacing="1"/>
      <w:ind w:left="0"/>
      <w:jc w:val="left"/>
    </w:pPr>
    <w:rPr>
      <w:rFonts w:eastAsiaTheme="minorHAnsi" w:cs="Calibri"/>
      <w:lang w:eastAsia="it-IT"/>
    </w:rPr>
  </w:style>
  <w:style w:type="paragraph" w:customStyle="1" w:styleId="wkit-indentation-level-0">
    <w:name w:val="wkit-indentation-level-0"/>
    <w:basedOn w:val="Normale"/>
    <w:rsid w:val="00E84B5E"/>
    <w:pPr>
      <w:spacing w:before="100" w:beforeAutospacing="1" w:after="100" w:afterAutospacing="1"/>
      <w:ind w:left="0"/>
      <w:jc w:val="left"/>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E84B5E"/>
    <w:rPr>
      <w:color w:val="0000FF"/>
      <w:u w:val="single"/>
    </w:rPr>
  </w:style>
  <w:style w:type="character" w:customStyle="1" w:styleId="wkit-bold">
    <w:name w:val="wkit-bold"/>
    <w:basedOn w:val="Carpredefinitoparagrafo"/>
    <w:rsid w:val="00E84B5E"/>
  </w:style>
  <w:style w:type="character" w:customStyle="1" w:styleId="corpotestoinformativaCarattere">
    <w:name w:val="corpo testo informativa Carattere"/>
    <w:link w:val="corpotestoinformativa"/>
    <w:rsid w:val="002A0F58"/>
    <w:rPr>
      <w:rFonts w:ascii="PT Sans" w:eastAsia="Times New Roman" w:hAnsi="PT Sans" w:cs="Times New Roman"/>
      <w:sz w:val="22"/>
      <w:szCs w:val="20"/>
      <w:lang w:eastAsia="it-IT"/>
    </w:rPr>
  </w:style>
  <w:style w:type="paragraph" w:customStyle="1" w:styleId="paragrafo">
    <w:name w:val="paragrafo"/>
    <w:basedOn w:val="corpotestoinformativa"/>
    <w:rsid w:val="00584D60"/>
    <w:rPr>
      <w:b/>
      <w:color w:val="D2232A"/>
    </w:rPr>
  </w:style>
  <w:style w:type="paragraph" w:customStyle="1" w:styleId="rubrica">
    <w:name w:val="rubrica"/>
    <w:rsid w:val="00584D60"/>
    <w:pPr>
      <w:spacing w:after="0" w:line="320" w:lineRule="exact"/>
    </w:pPr>
    <w:rPr>
      <w:rFonts w:ascii="PT Sans" w:eastAsia="Times New Roman" w:hAnsi="PT Sans" w:cs="Arial"/>
      <w:b/>
      <w:sz w:val="32"/>
      <w:szCs w:val="32"/>
      <w:lang w:eastAsia="it-IT"/>
    </w:rPr>
  </w:style>
  <w:style w:type="paragraph" w:customStyle="1" w:styleId="sottoparagrafo">
    <w:name w:val="sottoparagrafo"/>
    <w:basedOn w:val="NormaleWeb"/>
    <w:rsid w:val="00584D60"/>
    <w:pPr>
      <w:numPr>
        <w:numId w:val="10"/>
      </w:numPr>
      <w:ind w:left="1077"/>
    </w:pPr>
  </w:style>
  <w:style w:type="paragraph" w:customStyle="1" w:styleId="testopuntoelenco">
    <w:name w:val="testo punto elenco"/>
    <w:basedOn w:val="corpotestoinformativa"/>
    <w:rsid w:val="00584D60"/>
    <w:pPr>
      <w:numPr>
        <w:numId w:val="3"/>
      </w:numPr>
    </w:pPr>
    <w:rPr>
      <w:rFonts w:cs="Arial"/>
      <w:szCs w:val="22"/>
    </w:rPr>
  </w:style>
  <w:style w:type="paragraph" w:customStyle="1" w:styleId="sottotitolotabellasfondochiaro">
    <w:name w:val="sottotitolo tabella sfondo chiaro"/>
    <w:basedOn w:val="Normale"/>
    <w:uiPriority w:val="11"/>
    <w:qFormat/>
    <w:rsid w:val="00584D60"/>
    <w:pPr>
      <w:spacing w:line="280" w:lineRule="exact"/>
      <w:ind w:left="0"/>
      <w:jc w:val="center"/>
    </w:pPr>
    <w:rPr>
      <w:rFonts w:ascii="PT Sans" w:eastAsia="Times New Roman" w:hAnsi="PT Sans"/>
      <w:color w:val="000000"/>
      <w:sz w:val="20"/>
      <w:szCs w:val="20"/>
      <w:lang w:eastAsia="it-IT"/>
    </w:rPr>
  </w:style>
  <w:style w:type="paragraph" w:customStyle="1" w:styleId="titolotabellasfondoscuro">
    <w:name w:val="titolo tabella sfondo scuro"/>
    <w:basedOn w:val="sottotitolotabellasfondochiaro"/>
    <w:uiPriority w:val="9"/>
    <w:qFormat/>
    <w:rsid w:val="00584D60"/>
    <w:pPr>
      <w:spacing w:line="320" w:lineRule="exact"/>
    </w:pPr>
    <w:rPr>
      <w:b/>
    </w:rPr>
  </w:style>
  <w:style w:type="paragraph" w:customStyle="1" w:styleId="testotabella10">
    <w:name w:val="testo tabella 10"/>
    <w:basedOn w:val="Normale"/>
    <w:qFormat/>
    <w:rsid w:val="00584D60"/>
    <w:pPr>
      <w:spacing w:line="320" w:lineRule="exact"/>
      <w:ind w:left="0"/>
    </w:pPr>
    <w:rPr>
      <w:rFonts w:ascii="PT Sans" w:eastAsia="Times New Roman" w:hAnsi="PT Sans"/>
      <w:color w:val="000000"/>
      <w:sz w:val="20"/>
      <w:szCs w:val="20"/>
      <w:lang w:eastAsia="it-IT"/>
    </w:rPr>
  </w:style>
  <w:style w:type="table" w:customStyle="1" w:styleId="Stile8">
    <w:name w:val="Stile8"/>
    <w:basedOn w:val="Tabellanormale"/>
    <w:uiPriority w:val="99"/>
    <w:rsid w:val="00584D60"/>
    <w:pPr>
      <w:spacing w:after="0"/>
    </w:pPr>
    <w:rPr>
      <w:rFonts w:ascii="Calibri" w:eastAsia="Calibri" w:hAnsi="Calibri" w:cs="Times New Roman"/>
      <w:sz w:val="20"/>
      <w:szCs w:val="20"/>
      <w:lang w:eastAsia="it-IT"/>
    </w:rPr>
    <w:tblPr>
      <w:tblBorders>
        <w:top w:val="single" w:sz="4" w:space="0" w:color="A40037"/>
        <w:left w:val="single" w:sz="4" w:space="0" w:color="A40037"/>
        <w:bottom w:val="single" w:sz="4" w:space="0" w:color="A40037"/>
        <w:right w:val="single" w:sz="4" w:space="0" w:color="A40037"/>
        <w:insideH w:val="single" w:sz="4" w:space="0" w:color="A40037"/>
        <w:insideV w:val="single" w:sz="4" w:space="0" w:color="A40037"/>
      </w:tblBorders>
    </w:tblPr>
    <w:tblStylePr w:type="firstRow">
      <w:tblPr/>
      <w:tcPr>
        <w:shd w:val="clear" w:color="auto" w:fill="FF5353"/>
      </w:tcPr>
    </w:tblStylePr>
  </w:style>
  <w:style w:type="paragraph" w:customStyle="1" w:styleId="macrotemabox">
    <w:name w:val="macrotema box"/>
    <w:rsid w:val="00584D60"/>
    <w:pPr>
      <w:spacing w:after="0" w:line="280" w:lineRule="exact"/>
      <w:jc w:val="center"/>
    </w:pPr>
    <w:rPr>
      <w:rFonts w:ascii="PT Sans" w:eastAsia="Times New Roman" w:hAnsi="PT Sans" w:cs="Times New Roman"/>
      <w:b/>
      <w:bCs/>
      <w:iCs/>
      <w:smallCaps/>
      <w:color w:val="FFFFFF"/>
      <w:sz w:val="32"/>
      <w:szCs w:val="20"/>
      <w:lang w:eastAsia="it-IT"/>
    </w:rPr>
  </w:style>
  <w:style w:type="paragraph" w:customStyle="1" w:styleId="testoflash">
    <w:name w:val="testo flash"/>
    <w:basedOn w:val="corpotestoinformativa"/>
    <w:rsid w:val="00584D60"/>
  </w:style>
  <w:style w:type="paragraph" w:customStyle="1" w:styleId="fonteflash">
    <w:name w:val="fonte flash"/>
    <w:basedOn w:val="Normale"/>
    <w:rsid w:val="00584D60"/>
    <w:pPr>
      <w:spacing w:before="60" w:after="40" w:line="320" w:lineRule="exact"/>
      <w:ind w:left="0"/>
      <w:jc w:val="right"/>
    </w:pPr>
    <w:rPr>
      <w:rFonts w:ascii="PT Sans" w:eastAsia="Times New Roman" w:hAnsi="PT Sans"/>
      <w:b/>
      <w:bCs/>
      <w:sz w:val="20"/>
      <w:szCs w:val="20"/>
      <w:lang w:eastAsia="it-IT"/>
    </w:rPr>
  </w:style>
  <w:style w:type="paragraph" w:customStyle="1" w:styleId="titoloflash">
    <w:name w:val="titolo flash"/>
    <w:rsid w:val="00584D60"/>
    <w:pPr>
      <w:spacing w:after="0" w:line="320" w:lineRule="exact"/>
    </w:pPr>
    <w:rPr>
      <w:rFonts w:ascii="PT Sans" w:eastAsia="Times New Roman" w:hAnsi="PT Sans" w:cs="Times New Roman"/>
      <w:b/>
      <w:bCs/>
      <w:sz w:val="22"/>
      <w:szCs w:val="20"/>
      <w:lang w:eastAsia="it-IT"/>
    </w:rPr>
  </w:style>
  <w:style w:type="paragraph" w:customStyle="1" w:styleId="flash2TITOLO">
    <w:name w:val="flash 2 TITOLO"/>
    <w:basedOn w:val="Normale"/>
    <w:uiPriority w:val="1"/>
    <w:rsid w:val="00584D60"/>
    <w:pPr>
      <w:widowControl w:val="0"/>
      <w:autoSpaceDE w:val="0"/>
      <w:autoSpaceDN w:val="0"/>
      <w:adjustRightInd w:val="0"/>
      <w:ind w:left="0"/>
      <w:textAlignment w:val="center"/>
    </w:pPr>
    <w:rPr>
      <w:rFonts w:ascii="PT Sans" w:eastAsia="Times New Roman" w:hAnsi="PT Sans" w:cs="Calibri"/>
      <w:b/>
      <w:bCs/>
      <w:color w:val="000000"/>
      <w:szCs w:val="24"/>
      <w:lang w:eastAsia="it-IT"/>
    </w:rPr>
  </w:style>
  <w:style w:type="paragraph" w:customStyle="1" w:styleId="flash3TESTO">
    <w:name w:val="flash 3 TESTO"/>
    <w:basedOn w:val="Normale"/>
    <w:uiPriority w:val="1"/>
    <w:rsid w:val="00584D60"/>
    <w:pPr>
      <w:widowControl w:val="0"/>
      <w:autoSpaceDE w:val="0"/>
      <w:autoSpaceDN w:val="0"/>
      <w:adjustRightInd w:val="0"/>
      <w:ind w:left="0"/>
      <w:textAlignment w:val="center"/>
    </w:pPr>
    <w:rPr>
      <w:rFonts w:ascii="PT Sans" w:eastAsia="Times New Roman" w:hAnsi="PT Sans" w:cs="Calibri"/>
      <w:color w:val="000000"/>
      <w:lang w:eastAsia="it-IT"/>
    </w:rPr>
  </w:style>
  <w:style w:type="character" w:styleId="Numeropagina">
    <w:name w:val="page number"/>
    <w:rsid w:val="00584D60"/>
    <w:rPr>
      <w:rFonts w:ascii="PT Sans" w:hAnsi="PT Sans"/>
    </w:rPr>
  </w:style>
  <w:style w:type="character" w:customStyle="1" w:styleId="titolirubricheindice">
    <w:name w:val="titoli rubriche indice"/>
    <w:rsid w:val="00584D60"/>
    <w:rPr>
      <w:rFonts w:ascii="PT Sans" w:hAnsi="PT Sans"/>
      <w:b/>
      <w:bCs/>
      <w:color w:val="D2232A"/>
      <w:sz w:val="28"/>
    </w:rPr>
  </w:style>
  <w:style w:type="paragraph" w:customStyle="1" w:styleId="spaziotrascadenzeccnl">
    <w:name w:val="spazio tra scadenze ccnl"/>
    <w:basedOn w:val="Normale"/>
    <w:qFormat/>
    <w:rsid w:val="00584D60"/>
    <w:pPr>
      <w:ind w:left="0"/>
      <w:jc w:val="left"/>
    </w:pPr>
    <w:rPr>
      <w:rFonts w:ascii="PT Sans" w:eastAsia="Times New Roman" w:hAnsi="PT Sans"/>
      <w:sz w:val="16"/>
      <w:szCs w:val="16"/>
      <w:lang w:eastAsia="it-IT"/>
    </w:rPr>
  </w:style>
  <w:style w:type="paragraph" w:customStyle="1" w:styleId="puntielenconumeri">
    <w:name w:val="punti elenco numeri"/>
    <w:rsid w:val="00584D60"/>
    <w:pPr>
      <w:numPr>
        <w:numId w:val="4"/>
      </w:numPr>
      <w:shd w:val="clear" w:color="auto" w:fill="FFFFFF"/>
      <w:spacing w:after="0" w:line="320" w:lineRule="exact"/>
      <w:ind w:left="357" w:hanging="357"/>
      <w:jc w:val="both"/>
    </w:pPr>
    <w:rPr>
      <w:rFonts w:ascii="PT Sans" w:eastAsia="Times New Roman" w:hAnsi="PT Sans" w:cs="Arial"/>
      <w:sz w:val="22"/>
      <w:szCs w:val="22"/>
      <w:lang w:eastAsia="it-IT"/>
    </w:rPr>
  </w:style>
  <w:style w:type="paragraph" w:customStyle="1" w:styleId="Titoloscadenza">
    <w:name w:val="Titolo scadenza"/>
    <w:rsid w:val="00584D60"/>
    <w:pPr>
      <w:spacing w:after="0" w:line="320" w:lineRule="exact"/>
      <w:jc w:val="both"/>
    </w:pPr>
    <w:rPr>
      <w:rFonts w:ascii="PT Sans" w:eastAsia="Times New Roman" w:hAnsi="PT Sans" w:cs="Times New Roman"/>
      <w:b/>
      <w:bCs/>
      <w:color w:val="000000"/>
      <w:sz w:val="22"/>
      <w:szCs w:val="20"/>
      <w:lang w:eastAsia="it-IT"/>
    </w:rPr>
  </w:style>
  <w:style w:type="paragraph" w:customStyle="1" w:styleId="puntoelencolettera">
    <w:name w:val="punto elenco lettera"/>
    <w:basedOn w:val="testopuntoelenco"/>
    <w:qFormat/>
    <w:rsid w:val="00584D60"/>
    <w:pPr>
      <w:numPr>
        <w:numId w:val="5"/>
      </w:numPr>
    </w:pPr>
  </w:style>
  <w:style w:type="paragraph" w:customStyle="1" w:styleId="testotabella10ok">
    <w:name w:val="testo tabella 10 ok"/>
    <w:basedOn w:val="Normale"/>
    <w:uiPriority w:val="5"/>
    <w:qFormat/>
    <w:rsid w:val="00584D60"/>
    <w:pPr>
      <w:spacing w:line="280" w:lineRule="atLeast"/>
      <w:ind w:left="0"/>
    </w:pPr>
    <w:rPr>
      <w:rFonts w:ascii="PT Sans" w:eastAsia="Times New Roman" w:hAnsi="PT Sans"/>
      <w:color w:val="000000"/>
      <w:sz w:val="20"/>
      <w:szCs w:val="20"/>
      <w:lang w:eastAsia="it-IT"/>
    </w:rPr>
  </w:style>
  <w:style w:type="paragraph" w:customStyle="1" w:styleId="testotabella10g">
    <w:name w:val="testo tabella 10 g"/>
    <w:basedOn w:val="testotabella10ok"/>
    <w:uiPriority w:val="5"/>
    <w:qFormat/>
    <w:rsid w:val="00584D60"/>
    <w:pPr>
      <w:jc w:val="center"/>
    </w:pPr>
    <w:rPr>
      <w:b/>
    </w:rPr>
  </w:style>
  <w:style w:type="paragraph" w:customStyle="1" w:styleId="puntielencotabella">
    <w:name w:val="punti elenco tabella"/>
    <w:basedOn w:val="puntielenconumeri"/>
    <w:qFormat/>
    <w:rsid w:val="00584D60"/>
    <w:pPr>
      <w:numPr>
        <w:numId w:val="2"/>
      </w:numPr>
      <w:spacing w:line="280" w:lineRule="atLeast"/>
      <w:ind w:left="357" w:hanging="357"/>
    </w:pPr>
    <w:rPr>
      <w:rFonts w:eastAsia="Calibri"/>
      <w:sz w:val="20"/>
      <w:szCs w:val="20"/>
    </w:rPr>
  </w:style>
  <w:style w:type="paragraph" w:customStyle="1" w:styleId="puntoelencotabellapallino">
    <w:name w:val="punto elenco tabella pallino"/>
    <w:basedOn w:val="testopuntoelenco"/>
    <w:qFormat/>
    <w:rsid w:val="00584D60"/>
    <w:pPr>
      <w:numPr>
        <w:numId w:val="1"/>
      </w:numPr>
      <w:spacing w:line="280" w:lineRule="atLeast"/>
    </w:pPr>
    <w:rPr>
      <w:rFonts w:eastAsia="Calibri"/>
      <w:sz w:val="20"/>
      <w:szCs w:val="20"/>
    </w:rPr>
  </w:style>
  <w:style w:type="paragraph" w:customStyle="1" w:styleId="testotabellapallino">
    <w:name w:val="testo tabella pallino"/>
    <w:basedOn w:val="Normale"/>
    <w:uiPriority w:val="13"/>
    <w:qFormat/>
    <w:rsid w:val="00584D60"/>
    <w:pPr>
      <w:numPr>
        <w:numId w:val="6"/>
      </w:numPr>
      <w:spacing w:line="320" w:lineRule="exact"/>
      <w:jc w:val="left"/>
    </w:pPr>
    <w:rPr>
      <w:rFonts w:ascii="PT Sans" w:eastAsia="Times New Roman" w:hAnsi="PT Sans"/>
      <w:szCs w:val="24"/>
      <w:lang w:eastAsia="it-IT"/>
    </w:rPr>
  </w:style>
  <w:style w:type="character" w:styleId="Enfasicorsivo">
    <w:name w:val="Emphasis"/>
    <w:uiPriority w:val="20"/>
    <w:qFormat/>
    <w:rsid w:val="00584D60"/>
    <w:rPr>
      <w:i/>
      <w:iCs/>
    </w:rPr>
  </w:style>
  <w:style w:type="paragraph" w:customStyle="1" w:styleId="flash5fontenotizianolink">
    <w:name w:val="flash 5 fonte notizia no link"/>
    <w:basedOn w:val="Normale"/>
    <w:uiPriority w:val="1"/>
    <w:rsid w:val="00584D60"/>
    <w:pPr>
      <w:widowControl w:val="0"/>
      <w:autoSpaceDE w:val="0"/>
      <w:autoSpaceDN w:val="0"/>
      <w:adjustRightInd w:val="0"/>
      <w:spacing w:before="20"/>
      <w:ind w:left="0"/>
      <w:jc w:val="right"/>
      <w:textAlignment w:val="center"/>
    </w:pPr>
    <w:rPr>
      <w:rFonts w:ascii="PT Sans" w:eastAsia="Times New Roman" w:hAnsi="PT Sans" w:cs="Calibri-Bold"/>
      <w:bCs/>
      <w:color w:val="000000"/>
      <w:sz w:val="20"/>
      <w:szCs w:val="20"/>
      <w:lang w:eastAsia="it-IT"/>
    </w:rPr>
  </w:style>
  <w:style w:type="table" w:styleId="Grigliatabella">
    <w:name w:val="Table Grid"/>
    <w:basedOn w:val="Tabellanormale"/>
    <w:uiPriority w:val="59"/>
    <w:rsid w:val="00584D60"/>
    <w:pPr>
      <w:spacing w:after="0"/>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tielencoletterea">
    <w:name w:val="punti elenco lettere a)"/>
    <w:basedOn w:val="Normale"/>
    <w:qFormat/>
    <w:rsid w:val="00584D60"/>
    <w:pPr>
      <w:numPr>
        <w:numId w:val="7"/>
      </w:numPr>
      <w:shd w:val="clear" w:color="auto" w:fill="FFFFFF"/>
      <w:spacing w:line="320" w:lineRule="exact"/>
      <w:ind w:left="227" w:hanging="227"/>
    </w:pPr>
    <w:rPr>
      <w:rFonts w:ascii="PT Sans" w:eastAsia="Times New Roman" w:hAnsi="PT Sans" w:cs="Arial"/>
      <w:lang w:eastAsia="it-IT"/>
    </w:rPr>
  </w:style>
  <w:style w:type="paragraph" w:customStyle="1" w:styleId="indice">
    <w:name w:val="indice"/>
    <w:basedOn w:val="Normale"/>
    <w:rsid w:val="00584D60"/>
    <w:pPr>
      <w:spacing w:line="320" w:lineRule="exact"/>
      <w:ind w:left="0" w:right="252"/>
    </w:pPr>
    <w:rPr>
      <w:rFonts w:ascii="PT Sans" w:eastAsia="Times New Roman" w:hAnsi="PT Sans" w:cs="Arial"/>
      <w:lang w:eastAsia="it-IT"/>
    </w:rPr>
  </w:style>
  <w:style w:type="paragraph" w:styleId="Corpotesto">
    <w:name w:val="Body Text"/>
    <w:basedOn w:val="Normale"/>
    <w:link w:val="CorpotestoCarattere"/>
    <w:unhideWhenUsed/>
    <w:rsid w:val="00584D60"/>
    <w:pPr>
      <w:spacing w:after="120"/>
      <w:ind w:left="0"/>
      <w:jc w:val="left"/>
    </w:pPr>
    <w:rPr>
      <w:rFonts w:ascii="Times New Roman" w:eastAsia="Times New Roman" w:hAnsi="Times New Roman"/>
      <w:sz w:val="24"/>
      <w:szCs w:val="24"/>
      <w:lang w:eastAsia="it-IT"/>
    </w:rPr>
  </w:style>
  <w:style w:type="character" w:customStyle="1" w:styleId="CorpotestoCarattere">
    <w:name w:val="Corpo testo Carattere"/>
    <w:basedOn w:val="Carpredefinitoparagrafo"/>
    <w:link w:val="Corpotesto"/>
    <w:rsid w:val="00584D60"/>
    <w:rPr>
      <w:rFonts w:ascii="Times New Roman" w:eastAsia="Times New Roman" w:hAnsi="Times New Roman" w:cs="Times New Roman"/>
      <w:lang w:eastAsia="it-IT"/>
    </w:rPr>
  </w:style>
  <w:style w:type="paragraph" w:customStyle="1" w:styleId="TableParagraph">
    <w:name w:val="Table Paragraph"/>
    <w:basedOn w:val="Normale"/>
    <w:uiPriority w:val="1"/>
    <w:qFormat/>
    <w:rsid w:val="00584D60"/>
    <w:pPr>
      <w:widowControl w:val="0"/>
      <w:autoSpaceDE w:val="0"/>
      <w:autoSpaceDN w:val="0"/>
      <w:adjustRightInd w:val="0"/>
      <w:spacing w:before="52"/>
      <w:ind w:left="110"/>
      <w:jc w:val="left"/>
    </w:pPr>
    <w:rPr>
      <w:rFonts w:ascii="Arial" w:eastAsia="Times New Roman" w:hAnsi="Arial" w:cs="Arial"/>
      <w:sz w:val="24"/>
      <w:szCs w:val="24"/>
      <w:lang w:eastAsia="it-IT"/>
    </w:rPr>
  </w:style>
  <w:style w:type="paragraph" w:customStyle="1" w:styleId="Default">
    <w:name w:val="Default"/>
    <w:rsid w:val="00584D60"/>
    <w:pPr>
      <w:autoSpaceDE w:val="0"/>
      <w:autoSpaceDN w:val="0"/>
      <w:adjustRightInd w:val="0"/>
      <w:spacing w:after="0"/>
    </w:pPr>
    <w:rPr>
      <w:rFonts w:ascii="Verdana" w:eastAsia="Times New Roman" w:hAnsi="Verdana" w:cs="Verdana"/>
      <w:color w:val="000000"/>
      <w:lang w:eastAsia="it-IT"/>
    </w:rPr>
  </w:style>
  <w:style w:type="character" w:styleId="Menzionenonrisolta">
    <w:name w:val="Unresolved Mention"/>
    <w:uiPriority w:val="99"/>
    <w:semiHidden/>
    <w:unhideWhenUsed/>
    <w:rsid w:val="00584D60"/>
    <w:rPr>
      <w:color w:val="605E5C"/>
      <w:shd w:val="clear" w:color="auto" w:fill="E1DFDD"/>
    </w:rPr>
  </w:style>
  <w:style w:type="paragraph" w:styleId="PreformattatoHTML">
    <w:name w:val="HTML Preformatted"/>
    <w:basedOn w:val="Normale"/>
    <w:link w:val="PreformattatoHTMLCarattere"/>
    <w:uiPriority w:val="99"/>
    <w:unhideWhenUsed/>
    <w:rsid w:val="0058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584D60"/>
    <w:rPr>
      <w:rFonts w:ascii="Courier New" w:eastAsia="Times New Roman" w:hAnsi="Courier New" w:cs="Courier New"/>
      <w:sz w:val="20"/>
      <w:szCs w:val="20"/>
      <w:lang w:eastAsia="it-IT"/>
    </w:rPr>
  </w:style>
  <w:style w:type="character" w:styleId="Collegamentovisitato">
    <w:name w:val="FollowedHyperlink"/>
    <w:uiPriority w:val="99"/>
    <w:unhideWhenUsed/>
    <w:rsid w:val="00584D60"/>
    <w:rPr>
      <w:color w:val="954F72"/>
      <w:u w:val="single"/>
    </w:rPr>
  </w:style>
  <w:style w:type="paragraph" w:customStyle="1" w:styleId="puntoelencopallino">
    <w:name w:val="punto elenco pallino"/>
    <w:basedOn w:val="Normale"/>
    <w:uiPriority w:val="6"/>
    <w:qFormat/>
    <w:rsid w:val="00584D60"/>
    <w:pPr>
      <w:numPr>
        <w:numId w:val="8"/>
      </w:numPr>
      <w:spacing w:line="360" w:lineRule="auto"/>
    </w:pPr>
    <w:rPr>
      <w:rFonts w:ascii="PT Sans" w:eastAsia="Times New Roman" w:hAnsi="PT Sans"/>
      <w:szCs w:val="20"/>
      <w:lang w:eastAsia="it-IT"/>
    </w:rPr>
  </w:style>
  <w:style w:type="paragraph" w:customStyle="1" w:styleId="sottopuntielenco-">
    <w:name w:val="sottopunti elenco -"/>
    <w:basedOn w:val="Normale"/>
    <w:rsid w:val="00584D60"/>
    <w:pPr>
      <w:numPr>
        <w:ilvl w:val="1"/>
        <w:numId w:val="9"/>
      </w:numPr>
      <w:shd w:val="clear" w:color="auto" w:fill="FFFFFF"/>
      <w:spacing w:line="320" w:lineRule="exact"/>
    </w:pPr>
    <w:rPr>
      <w:rFonts w:ascii="PT Sans" w:eastAsia="Times New Roman" w:hAnsi="PT Sans" w:cs="Arial"/>
      <w:lang w:eastAsia="it-IT"/>
    </w:rPr>
  </w:style>
  <w:style w:type="paragraph" w:customStyle="1" w:styleId="puntoelenco">
    <w:name w:val="punto elenco"/>
    <w:rsid w:val="00584D60"/>
    <w:pPr>
      <w:tabs>
        <w:tab w:val="num" w:pos="227"/>
      </w:tabs>
      <w:spacing w:after="0" w:line="320" w:lineRule="exact"/>
      <w:ind w:left="227" w:hanging="227"/>
      <w:jc w:val="both"/>
    </w:pPr>
    <w:rPr>
      <w:rFonts w:ascii="PT Sans" w:eastAsia="Times New Roman" w:hAnsi="PT Sans" w:cs="Arial"/>
      <w:sz w:val="22"/>
      <w:szCs w:val="22"/>
      <w:lang w:eastAsia="it-IT"/>
    </w:rPr>
  </w:style>
  <w:style w:type="character" w:styleId="Enfasigrassetto">
    <w:name w:val="Strong"/>
    <w:basedOn w:val="Carpredefinitoparagrafo"/>
    <w:uiPriority w:val="22"/>
    <w:qFormat/>
    <w:rsid w:val="00FF7203"/>
    <w:rPr>
      <w:b/>
      <w:bCs/>
    </w:rPr>
  </w:style>
  <w:style w:type="paragraph" w:customStyle="1" w:styleId="abstractarticoli">
    <w:name w:val="abstract  (articoli)"/>
    <w:basedOn w:val="Normale"/>
    <w:rsid w:val="00F00A31"/>
    <w:pPr>
      <w:widowControl w:val="0"/>
      <w:suppressAutoHyphens/>
      <w:autoSpaceDE w:val="0"/>
      <w:autoSpaceDN w:val="0"/>
      <w:adjustRightInd w:val="0"/>
      <w:ind w:left="0"/>
    </w:pPr>
    <w:rPr>
      <w:rFonts w:ascii="PT Sans" w:eastAsia="Times New Roman" w:hAnsi="PT Sans" w:cs="InfoTextOT-Italic"/>
      <w:i/>
      <w:iCs/>
      <w:color w:val="000000"/>
      <w:sz w:val="26"/>
      <w:szCs w:val="26"/>
      <w:lang w:eastAsia="it-IT"/>
    </w:rPr>
  </w:style>
  <w:style w:type="paragraph" w:customStyle="1" w:styleId="Normale1">
    <w:name w:val="Normale1"/>
    <w:rsid w:val="00B20216"/>
    <w:pPr>
      <w:spacing w:after="0" w:line="320" w:lineRule="exact"/>
    </w:pPr>
    <w:rPr>
      <w:rFonts w:ascii="PT Sans" w:eastAsia="ヒラギノ角ゴ Pro W3" w:hAnsi="PT Sans" w:cs="Times New Roman"/>
      <w:color w:val="000000"/>
      <w:szCs w:val="20"/>
      <w:lang w:eastAsia="it-IT"/>
    </w:rPr>
  </w:style>
  <w:style w:type="paragraph" w:styleId="Paragrafoelenco">
    <w:name w:val="List Paragraph"/>
    <w:basedOn w:val="Normale"/>
    <w:uiPriority w:val="34"/>
    <w:qFormat/>
    <w:rsid w:val="00AE14F2"/>
    <w:pPr>
      <w:ind w:left="720"/>
      <w:contextualSpacing/>
    </w:pPr>
  </w:style>
  <w:style w:type="character" w:customStyle="1" w:styleId="gstkn">
    <w:name w:val="gs_tkn"/>
    <w:basedOn w:val="Carpredefinitoparagrafo"/>
    <w:rsid w:val="00D87B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7978">
      <w:bodyDiv w:val="1"/>
      <w:marLeft w:val="0"/>
      <w:marRight w:val="0"/>
      <w:marTop w:val="0"/>
      <w:marBottom w:val="0"/>
      <w:divBdr>
        <w:top w:val="none" w:sz="0" w:space="0" w:color="auto"/>
        <w:left w:val="none" w:sz="0" w:space="0" w:color="auto"/>
        <w:bottom w:val="none" w:sz="0" w:space="0" w:color="auto"/>
        <w:right w:val="none" w:sz="0" w:space="0" w:color="auto"/>
      </w:divBdr>
    </w:div>
    <w:div w:id="136144652">
      <w:bodyDiv w:val="1"/>
      <w:marLeft w:val="0"/>
      <w:marRight w:val="0"/>
      <w:marTop w:val="0"/>
      <w:marBottom w:val="0"/>
      <w:divBdr>
        <w:top w:val="none" w:sz="0" w:space="0" w:color="auto"/>
        <w:left w:val="none" w:sz="0" w:space="0" w:color="auto"/>
        <w:bottom w:val="none" w:sz="0" w:space="0" w:color="auto"/>
        <w:right w:val="none" w:sz="0" w:space="0" w:color="auto"/>
      </w:divBdr>
    </w:div>
    <w:div w:id="204685517">
      <w:bodyDiv w:val="1"/>
      <w:marLeft w:val="0"/>
      <w:marRight w:val="0"/>
      <w:marTop w:val="0"/>
      <w:marBottom w:val="0"/>
      <w:divBdr>
        <w:top w:val="none" w:sz="0" w:space="0" w:color="auto"/>
        <w:left w:val="none" w:sz="0" w:space="0" w:color="auto"/>
        <w:bottom w:val="none" w:sz="0" w:space="0" w:color="auto"/>
        <w:right w:val="none" w:sz="0" w:space="0" w:color="auto"/>
      </w:divBdr>
      <w:divsChild>
        <w:div w:id="394157852">
          <w:marLeft w:val="0"/>
          <w:marRight w:val="0"/>
          <w:marTop w:val="0"/>
          <w:marBottom w:val="300"/>
          <w:divBdr>
            <w:top w:val="none" w:sz="0" w:space="0" w:color="auto"/>
            <w:left w:val="none" w:sz="0" w:space="0" w:color="auto"/>
            <w:bottom w:val="none" w:sz="0" w:space="0" w:color="auto"/>
            <w:right w:val="none" w:sz="0" w:space="0" w:color="auto"/>
          </w:divBdr>
        </w:div>
        <w:div w:id="1190291153">
          <w:marLeft w:val="0"/>
          <w:marRight w:val="0"/>
          <w:marTop w:val="0"/>
          <w:marBottom w:val="300"/>
          <w:divBdr>
            <w:top w:val="none" w:sz="0" w:space="0" w:color="auto"/>
            <w:left w:val="none" w:sz="0" w:space="0" w:color="auto"/>
            <w:bottom w:val="none" w:sz="0" w:space="0" w:color="auto"/>
            <w:right w:val="none" w:sz="0" w:space="0" w:color="auto"/>
          </w:divBdr>
        </w:div>
        <w:div w:id="198011214">
          <w:marLeft w:val="0"/>
          <w:marRight w:val="0"/>
          <w:marTop w:val="0"/>
          <w:marBottom w:val="300"/>
          <w:divBdr>
            <w:top w:val="none" w:sz="0" w:space="0" w:color="auto"/>
            <w:left w:val="none" w:sz="0" w:space="0" w:color="auto"/>
            <w:bottom w:val="none" w:sz="0" w:space="0" w:color="auto"/>
            <w:right w:val="none" w:sz="0" w:space="0" w:color="auto"/>
          </w:divBdr>
        </w:div>
        <w:div w:id="2030984360">
          <w:marLeft w:val="0"/>
          <w:marRight w:val="0"/>
          <w:marTop w:val="0"/>
          <w:marBottom w:val="300"/>
          <w:divBdr>
            <w:top w:val="none" w:sz="0" w:space="0" w:color="auto"/>
            <w:left w:val="none" w:sz="0" w:space="0" w:color="auto"/>
            <w:bottom w:val="none" w:sz="0" w:space="0" w:color="auto"/>
            <w:right w:val="none" w:sz="0" w:space="0" w:color="auto"/>
          </w:divBdr>
        </w:div>
        <w:div w:id="1234973993">
          <w:marLeft w:val="0"/>
          <w:marRight w:val="0"/>
          <w:marTop w:val="0"/>
          <w:marBottom w:val="300"/>
          <w:divBdr>
            <w:top w:val="none" w:sz="0" w:space="0" w:color="auto"/>
            <w:left w:val="none" w:sz="0" w:space="0" w:color="auto"/>
            <w:bottom w:val="none" w:sz="0" w:space="0" w:color="auto"/>
            <w:right w:val="none" w:sz="0" w:space="0" w:color="auto"/>
          </w:divBdr>
        </w:div>
      </w:divsChild>
    </w:div>
    <w:div w:id="230043774">
      <w:bodyDiv w:val="1"/>
      <w:marLeft w:val="0"/>
      <w:marRight w:val="0"/>
      <w:marTop w:val="0"/>
      <w:marBottom w:val="0"/>
      <w:divBdr>
        <w:top w:val="none" w:sz="0" w:space="0" w:color="auto"/>
        <w:left w:val="none" w:sz="0" w:space="0" w:color="auto"/>
        <w:bottom w:val="none" w:sz="0" w:space="0" w:color="auto"/>
        <w:right w:val="none" w:sz="0" w:space="0" w:color="auto"/>
      </w:divBdr>
      <w:divsChild>
        <w:div w:id="925455772">
          <w:marLeft w:val="0"/>
          <w:marRight w:val="0"/>
          <w:marTop w:val="0"/>
          <w:marBottom w:val="75"/>
          <w:divBdr>
            <w:top w:val="none" w:sz="0" w:space="0" w:color="auto"/>
            <w:left w:val="none" w:sz="0" w:space="0" w:color="auto"/>
            <w:bottom w:val="none" w:sz="0" w:space="0" w:color="auto"/>
            <w:right w:val="none" w:sz="0" w:space="0" w:color="auto"/>
          </w:divBdr>
        </w:div>
        <w:div w:id="1797020191">
          <w:marLeft w:val="0"/>
          <w:marRight w:val="0"/>
          <w:marTop w:val="0"/>
          <w:marBottom w:val="75"/>
          <w:divBdr>
            <w:top w:val="none" w:sz="0" w:space="0" w:color="auto"/>
            <w:left w:val="none" w:sz="0" w:space="0" w:color="auto"/>
            <w:bottom w:val="none" w:sz="0" w:space="0" w:color="auto"/>
            <w:right w:val="none" w:sz="0" w:space="0" w:color="auto"/>
          </w:divBdr>
        </w:div>
        <w:div w:id="1729302729">
          <w:marLeft w:val="0"/>
          <w:marRight w:val="0"/>
          <w:marTop w:val="0"/>
          <w:marBottom w:val="75"/>
          <w:divBdr>
            <w:top w:val="none" w:sz="0" w:space="0" w:color="auto"/>
            <w:left w:val="none" w:sz="0" w:space="0" w:color="auto"/>
            <w:bottom w:val="none" w:sz="0" w:space="0" w:color="auto"/>
            <w:right w:val="none" w:sz="0" w:space="0" w:color="auto"/>
          </w:divBdr>
        </w:div>
        <w:div w:id="2032871197">
          <w:marLeft w:val="0"/>
          <w:marRight w:val="0"/>
          <w:marTop w:val="0"/>
          <w:marBottom w:val="75"/>
          <w:divBdr>
            <w:top w:val="none" w:sz="0" w:space="0" w:color="auto"/>
            <w:left w:val="none" w:sz="0" w:space="0" w:color="auto"/>
            <w:bottom w:val="none" w:sz="0" w:space="0" w:color="auto"/>
            <w:right w:val="none" w:sz="0" w:space="0" w:color="auto"/>
          </w:divBdr>
        </w:div>
      </w:divsChild>
    </w:div>
    <w:div w:id="306205820">
      <w:bodyDiv w:val="1"/>
      <w:marLeft w:val="0"/>
      <w:marRight w:val="0"/>
      <w:marTop w:val="0"/>
      <w:marBottom w:val="0"/>
      <w:divBdr>
        <w:top w:val="none" w:sz="0" w:space="0" w:color="auto"/>
        <w:left w:val="none" w:sz="0" w:space="0" w:color="auto"/>
        <w:bottom w:val="none" w:sz="0" w:space="0" w:color="auto"/>
        <w:right w:val="none" w:sz="0" w:space="0" w:color="auto"/>
      </w:divBdr>
    </w:div>
    <w:div w:id="447315867">
      <w:bodyDiv w:val="1"/>
      <w:marLeft w:val="0"/>
      <w:marRight w:val="0"/>
      <w:marTop w:val="0"/>
      <w:marBottom w:val="0"/>
      <w:divBdr>
        <w:top w:val="none" w:sz="0" w:space="0" w:color="auto"/>
        <w:left w:val="none" w:sz="0" w:space="0" w:color="auto"/>
        <w:bottom w:val="none" w:sz="0" w:space="0" w:color="auto"/>
        <w:right w:val="none" w:sz="0" w:space="0" w:color="auto"/>
      </w:divBdr>
    </w:div>
    <w:div w:id="685711878">
      <w:bodyDiv w:val="1"/>
      <w:marLeft w:val="0"/>
      <w:marRight w:val="0"/>
      <w:marTop w:val="0"/>
      <w:marBottom w:val="0"/>
      <w:divBdr>
        <w:top w:val="none" w:sz="0" w:space="0" w:color="auto"/>
        <w:left w:val="none" w:sz="0" w:space="0" w:color="auto"/>
        <w:bottom w:val="none" w:sz="0" w:space="0" w:color="auto"/>
        <w:right w:val="none" w:sz="0" w:space="0" w:color="auto"/>
      </w:divBdr>
    </w:div>
    <w:div w:id="936598328">
      <w:bodyDiv w:val="1"/>
      <w:marLeft w:val="0"/>
      <w:marRight w:val="0"/>
      <w:marTop w:val="0"/>
      <w:marBottom w:val="0"/>
      <w:divBdr>
        <w:top w:val="none" w:sz="0" w:space="0" w:color="auto"/>
        <w:left w:val="none" w:sz="0" w:space="0" w:color="auto"/>
        <w:bottom w:val="none" w:sz="0" w:space="0" w:color="auto"/>
        <w:right w:val="none" w:sz="0" w:space="0" w:color="auto"/>
      </w:divBdr>
      <w:divsChild>
        <w:div w:id="1207062535">
          <w:marLeft w:val="0"/>
          <w:marRight w:val="0"/>
          <w:marTop w:val="0"/>
          <w:marBottom w:val="0"/>
          <w:divBdr>
            <w:top w:val="none" w:sz="0" w:space="0" w:color="auto"/>
            <w:left w:val="none" w:sz="0" w:space="0" w:color="auto"/>
            <w:bottom w:val="none" w:sz="0" w:space="0" w:color="auto"/>
            <w:right w:val="none" w:sz="0" w:space="0" w:color="auto"/>
          </w:divBdr>
        </w:div>
      </w:divsChild>
    </w:div>
    <w:div w:id="947152424">
      <w:bodyDiv w:val="1"/>
      <w:marLeft w:val="0"/>
      <w:marRight w:val="0"/>
      <w:marTop w:val="0"/>
      <w:marBottom w:val="0"/>
      <w:divBdr>
        <w:top w:val="none" w:sz="0" w:space="0" w:color="auto"/>
        <w:left w:val="none" w:sz="0" w:space="0" w:color="auto"/>
        <w:bottom w:val="none" w:sz="0" w:space="0" w:color="auto"/>
        <w:right w:val="none" w:sz="0" w:space="0" w:color="auto"/>
      </w:divBdr>
      <w:divsChild>
        <w:div w:id="1644432389">
          <w:marLeft w:val="0"/>
          <w:marRight w:val="0"/>
          <w:marTop w:val="0"/>
          <w:marBottom w:val="75"/>
          <w:divBdr>
            <w:top w:val="none" w:sz="0" w:space="0" w:color="auto"/>
            <w:left w:val="none" w:sz="0" w:space="0" w:color="auto"/>
            <w:bottom w:val="none" w:sz="0" w:space="0" w:color="auto"/>
            <w:right w:val="none" w:sz="0" w:space="0" w:color="auto"/>
          </w:divBdr>
        </w:div>
      </w:divsChild>
    </w:div>
    <w:div w:id="1034385680">
      <w:bodyDiv w:val="1"/>
      <w:marLeft w:val="0"/>
      <w:marRight w:val="0"/>
      <w:marTop w:val="0"/>
      <w:marBottom w:val="0"/>
      <w:divBdr>
        <w:top w:val="none" w:sz="0" w:space="0" w:color="auto"/>
        <w:left w:val="none" w:sz="0" w:space="0" w:color="auto"/>
        <w:bottom w:val="none" w:sz="0" w:space="0" w:color="auto"/>
        <w:right w:val="none" w:sz="0" w:space="0" w:color="auto"/>
      </w:divBdr>
      <w:divsChild>
        <w:div w:id="1504667039">
          <w:marLeft w:val="0"/>
          <w:marRight w:val="0"/>
          <w:marTop w:val="0"/>
          <w:marBottom w:val="75"/>
          <w:divBdr>
            <w:top w:val="none" w:sz="0" w:space="0" w:color="auto"/>
            <w:left w:val="none" w:sz="0" w:space="0" w:color="auto"/>
            <w:bottom w:val="none" w:sz="0" w:space="0" w:color="auto"/>
            <w:right w:val="none" w:sz="0" w:space="0" w:color="auto"/>
          </w:divBdr>
        </w:div>
      </w:divsChild>
    </w:div>
    <w:div w:id="1050765598">
      <w:bodyDiv w:val="1"/>
      <w:marLeft w:val="0"/>
      <w:marRight w:val="0"/>
      <w:marTop w:val="0"/>
      <w:marBottom w:val="0"/>
      <w:divBdr>
        <w:top w:val="none" w:sz="0" w:space="0" w:color="auto"/>
        <w:left w:val="none" w:sz="0" w:space="0" w:color="auto"/>
        <w:bottom w:val="none" w:sz="0" w:space="0" w:color="auto"/>
        <w:right w:val="none" w:sz="0" w:space="0" w:color="auto"/>
      </w:divBdr>
      <w:divsChild>
        <w:div w:id="1278487557">
          <w:marLeft w:val="0"/>
          <w:marRight w:val="0"/>
          <w:marTop w:val="0"/>
          <w:marBottom w:val="75"/>
          <w:divBdr>
            <w:top w:val="none" w:sz="0" w:space="0" w:color="auto"/>
            <w:left w:val="none" w:sz="0" w:space="0" w:color="auto"/>
            <w:bottom w:val="none" w:sz="0" w:space="0" w:color="auto"/>
            <w:right w:val="none" w:sz="0" w:space="0" w:color="auto"/>
          </w:divBdr>
        </w:div>
      </w:divsChild>
    </w:div>
    <w:div w:id="1075125726">
      <w:bodyDiv w:val="1"/>
      <w:marLeft w:val="0"/>
      <w:marRight w:val="0"/>
      <w:marTop w:val="0"/>
      <w:marBottom w:val="0"/>
      <w:divBdr>
        <w:top w:val="none" w:sz="0" w:space="0" w:color="auto"/>
        <w:left w:val="none" w:sz="0" w:space="0" w:color="auto"/>
        <w:bottom w:val="none" w:sz="0" w:space="0" w:color="auto"/>
        <w:right w:val="none" w:sz="0" w:space="0" w:color="auto"/>
      </w:divBdr>
      <w:divsChild>
        <w:div w:id="306472445">
          <w:marLeft w:val="0"/>
          <w:marRight w:val="0"/>
          <w:marTop w:val="0"/>
          <w:marBottom w:val="0"/>
          <w:divBdr>
            <w:top w:val="none" w:sz="0" w:space="0" w:color="auto"/>
            <w:left w:val="none" w:sz="0" w:space="0" w:color="auto"/>
            <w:bottom w:val="none" w:sz="0" w:space="0" w:color="auto"/>
            <w:right w:val="none" w:sz="0" w:space="0" w:color="auto"/>
          </w:divBdr>
        </w:div>
      </w:divsChild>
    </w:div>
    <w:div w:id="1136872241">
      <w:bodyDiv w:val="1"/>
      <w:marLeft w:val="0"/>
      <w:marRight w:val="0"/>
      <w:marTop w:val="0"/>
      <w:marBottom w:val="0"/>
      <w:divBdr>
        <w:top w:val="none" w:sz="0" w:space="0" w:color="auto"/>
        <w:left w:val="none" w:sz="0" w:space="0" w:color="auto"/>
        <w:bottom w:val="none" w:sz="0" w:space="0" w:color="auto"/>
        <w:right w:val="none" w:sz="0" w:space="0" w:color="auto"/>
      </w:divBdr>
      <w:divsChild>
        <w:div w:id="754673365">
          <w:marLeft w:val="0"/>
          <w:marRight w:val="0"/>
          <w:marTop w:val="0"/>
          <w:marBottom w:val="75"/>
          <w:divBdr>
            <w:top w:val="none" w:sz="0" w:space="0" w:color="auto"/>
            <w:left w:val="none" w:sz="0" w:space="0" w:color="auto"/>
            <w:bottom w:val="none" w:sz="0" w:space="0" w:color="auto"/>
            <w:right w:val="none" w:sz="0" w:space="0" w:color="auto"/>
          </w:divBdr>
        </w:div>
      </w:divsChild>
    </w:div>
    <w:div w:id="1141072098">
      <w:bodyDiv w:val="1"/>
      <w:marLeft w:val="0"/>
      <w:marRight w:val="0"/>
      <w:marTop w:val="0"/>
      <w:marBottom w:val="0"/>
      <w:divBdr>
        <w:top w:val="none" w:sz="0" w:space="0" w:color="auto"/>
        <w:left w:val="none" w:sz="0" w:space="0" w:color="auto"/>
        <w:bottom w:val="none" w:sz="0" w:space="0" w:color="auto"/>
        <w:right w:val="none" w:sz="0" w:space="0" w:color="auto"/>
      </w:divBdr>
    </w:div>
    <w:div w:id="1143039469">
      <w:bodyDiv w:val="1"/>
      <w:marLeft w:val="0"/>
      <w:marRight w:val="0"/>
      <w:marTop w:val="0"/>
      <w:marBottom w:val="0"/>
      <w:divBdr>
        <w:top w:val="none" w:sz="0" w:space="0" w:color="auto"/>
        <w:left w:val="none" w:sz="0" w:space="0" w:color="auto"/>
        <w:bottom w:val="none" w:sz="0" w:space="0" w:color="auto"/>
        <w:right w:val="none" w:sz="0" w:space="0" w:color="auto"/>
      </w:divBdr>
    </w:div>
    <w:div w:id="1275404514">
      <w:bodyDiv w:val="1"/>
      <w:marLeft w:val="0"/>
      <w:marRight w:val="0"/>
      <w:marTop w:val="0"/>
      <w:marBottom w:val="0"/>
      <w:divBdr>
        <w:top w:val="none" w:sz="0" w:space="0" w:color="auto"/>
        <w:left w:val="none" w:sz="0" w:space="0" w:color="auto"/>
        <w:bottom w:val="none" w:sz="0" w:space="0" w:color="auto"/>
        <w:right w:val="none" w:sz="0" w:space="0" w:color="auto"/>
      </w:divBdr>
    </w:div>
    <w:div w:id="1834879510">
      <w:bodyDiv w:val="1"/>
      <w:marLeft w:val="0"/>
      <w:marRight w:val="0"/>
      <w:marTop w:val="0"/>
      <w:marBottom w:val="0"/>
      <w:divBdr>
        <w:top w:val="none" w:sz="0" w:space="0" w:color="auto"/>
        <w:left w:val="none" w:sz="0" w:space="0" w:color="auto"/>
        <w:bottom w:val="none" w:sz="0" w:space="0" w:color="auto"/>
        <w:right w:val="none" w:sz="0" w:space="0" w:color="auto"/>
      </w:divBdr>
    </w:div>
    <w:div w:id="1863737755">
      <w:bodyDiv w:val="1"/>
      <w:marLeft w:val="0"/>
      <w:marRight w:val="0"/>
      <w:marTop w:val="0"/>
      <w:marBottom w:val="0"/>
      <w:divBdr>
        <w:top w:val="none" w:sz="0" w:space="0" w:color="auto"/>
        <w:left w:val="none" w:sz="0" w:space="0" w:color="auto"/>
        <w:bottom w:val="none" w:sz="0" w:space="0" w:color="auto"/>
        <w:right w:val="none" w:sz="0" w:space="0" w:color="auto"/>
      </w:divBdr>
    </w:div>
    <w:div w:id="1985817681">
      <w:bodyDiv w:val="1"/>
      <w:marLeft w:val="0"/>
      <w:marRight w:val="0"/>
      <w:marTop w:val="0"/>
      <w:marBottom w:val="0"/>
      <w:divBdr>
        <w:top w:val="none" w:sz="0" w:space="0" w:color="auto"/>
        <w:left w:val="none" w:sz="0" w:space="0" w:color="auto"/>
        <w:bottom w:val="none" w:sz="0" w:space="0" w:color="auto"/>
        <w:right w:val="none" w:sz="0" w:space="0" w:color="auto"/>
      </w:divBdr>
      <w:divsChild>
        <w:div w:id="1304386179">
          <w:marLeft w:val="0"/>
          <w:marRight w:val="0"/>
          <w:marTop w:val="0"/>
          <w:marBottom w:val="75"/>
          <w:divBdr>
            <w:top w:val="none" w:sz="0" w:space="0" w:color="auto"/>
            <w:left w:val="none" w:sz="0" w:space="0" w:color="auto"/>
            <w:bottom w:val="none" w:sz="0" w:space="0" w:color="auto"/>
            <w:right w:val="none" w:sz="0" w:space="0" w:color="auto"/>
          </w:divBdr>
        </w:div>
      </w:divsChild>
    </w:div>
    <w:div w:id="2139952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FCB30F056F4345A0844739C6D35E15" ma:contentTypeVersion="14" ma:contentTypeDescription="Create a new document." ma:contentTypeScope="" ma:versionID="7bec546c5b1fb4546f9dc005b557de01">
  <xsd:schema xmlns:xsd="http://www.w3.org/2001/XMLSchema" xmlns:xs="http://www.w3.org/2001/XMLSchema" xmlns:p="http://schemas.microsoft.com/office/2006/metadata/properties" xmlns:ns2="823fdf7b-e0eb-4db5-8499-d2380c229cb1" xmlns:ns3="c98d467d-1f38-4a35-a4fd-b003e6be3404" targetNamespace="http://schemas.microsoft.com/office/2006/metadata/properties" ma:root="true" ma:fieldsID="f7caf9191a22df1dc37d9e11ebcbba5f" ns2:_="" ns3:_="">
    <xsd:import namespace="823fdf7b-e0eb-4db5-8499-d2380c229cb1"/>
    <xsd:import namespace="c98d467d-1f38-4a35-a4fd-b003e6be34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fdf7b-e0eb-4db5-8499-d2380c229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576eaef-0544-466b-9432-2b350550ee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8d467d-1f38-4a35-a4fd-b003e6be340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3fdf7b-e0eb-4db5-8499-d2380c229cb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49A0F-91FD-4B23-8B86-4DE3BD4DEC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fdf7b-e0eb-4db5-8499-d2380c229cb1"/>
    <ds:schemaRef ds:uri="c98d467d-1f38-4a35-a4fd-b003e6be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882A8F-ECCB-43F9-B888-F348950A5392}">
  <ds:schemaRefs>
    <ds:schemaRef ds:uri="http://schemas.microsoft.com/office/2006/metadata/properties"/>
    <ds:schemaRef ds:uri="http://schemas.microsoft.com/office/infopath/2007/PartnerControls"/>
    <ds:schemaRef ds:uri="823fdf7b-e0eb-4db5-8499-d2380c229cb1"/>
  </ds:schemaRefs>
</ds:datastoreItem>
</file>

<file path=customXml/itemProps3.xml><?xml version="1.0" encoding="utf-8"?>
<ds:datastoreItem xmlns:ds="http://schemas.openxmlformats.org/officeDocument/2006/customXml" ds:itemID="{65C140C4-A855-4F31-9B7D-A06DFDC5B3AE}">
  <ds:schemaRefs>
    <ds:schemaRef ds:uri="http://schemas.microsoft.com/sharepoint/v3/contenttype/forms"/>
  </ds:schemaRefs>
</ds:datastoreItem>
</file>

<file path=customXml/itemProps4.xml><?xml version="1.0" encoding="utf-8"?>
<ds:datastoreItem xmlns:ds="http://schemas.openxmlformats.org/officeDocument/2006/customXml" ds:itemID="{F52683F6-3BB5-48A7-919A-6B9FEB85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Pages>
  <Words>1988</Words>
  <Characters>11336</Characters>
  <Application>Microsoft Office Word</Application>
  <DocSecurity>8</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dc:creator>
  <cp:keywords/>
  <dc:description/>
  <cp:lastModifiedBy>Alessandra - Studio Dafe</cp:lastModifiedBy>
  <cp:revision>92</cp:revision>
  <cp:lastPrinted>2025-11-03T10:28:00Z</cp:lastPrinted>
  <dcterms:created xsi:type="dcterms:W3CDTF">2026-04-17T15:22:00Z</dcterms:created>
  <dcterms:modified xsi:type="dcterms:W3CDTF">2026-06-01T16:14:00Z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0x010100DAFCB30F056F4345A0844739C6D35E15</vt:lpwstr>
  </property>
  <property fmtid="{D5CDD505-2E9C-101B-9397-08002B2CF9AE}" pid="3" name="MediaServiceImageTags">
    <vt:lpwstr/>
  </property>
</Properties>
</file>