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8D2E8" w14:textId="77777777" w:rsidR="003E1219" w:rsidRPr="003E1219" w:rsidRDefault="003E1219" w:rsidP="003E1219">
      <w:pPr>
        <w:spacing w:before="100" w:beforeAutospacing="1" w:after="100" w:afterAutospacing="1"/>
        <w:ind w:left="0"/>
        <w:rPr>
          <w:rFonts w:ascii="Arial" w:eastAsia="Times New Roman" w:hAnsi="Arial" w:cs="Arial"/>
          <w:sz w:val="24"/>
          <w:szCs w:val="24"/>
          <w:lang w:eastAsia="it-IT"/>
        </w:rPr>
      </w:pPr>
      <w:bookmarkStart w:id="0" w:name="_Hlk83196558"/>
      <w:r w:rsidRPr="003E1219">
        <w:rPr>
          <w:rFonts w:ascii="Arial" w:eastAsia="Times New Roman" w:hAnsi="Arial" w:cs="Arial"/>
          <w:sz w:val="24"/>
          <w:szCs w:val="24"/>
          <w:lang w:eastAsia="it-IT"/>
        </w:rPr>
        <w:t>Con la presente circolare si riepilogano i principali chiarimenti forniti dall’INPS in merito agli incentivi all’occupazione introdotti dal D.L. n. 62/2026.</w:t>
      </w:r>
    </w:p>
    <w:p w14:paraId="2E8FE593" w14:textId="77777777" w:rsidR="003E1219" w:rsidRPr="003E1219" w:rsidRDefault="003E1219" w:rsidP="003E1219">
      <w:pPr>
        <w:spacing w:before="100" w:beforeAutospacing="1" w:after="100" w:afterAutospacing="1"/>
        <w:ind w:left="0"/>
        <w:rPr>
          <w:rFonts w:ascii="Arial" w:eastAsia="Times New Roman" w:hAnsi="Arial" w:cs="Arial"/>
          <w:sz w:val="24"/>
          <w:szCs w:val="24"/>
          <w:lang w:eastAsia="it-IT"/>
        </w:rPr>
      </w:pPr>
      <w:r w:rsidRPr="003E1219">
        <w:rPr>
          <w:rFonts w:ascii="Arial" w:eastAsia="Times New Roman" w:hAnsi="Arial" w:cs="Arial"/>
          <w:sz w:val="24"/>
          <w:szCs w:val="24"/>
          <w:lang w:eastAsia="it-IT"/>
        </w:rPr>
        <w:t xml:space="preserve">In particolare, vengono illustrate le istruzioni operative relative al </w:t>
      </w:r>
      <w:r w:rsidRPr="003E1219">
        <w:rPr>
          <w:rFonts w:ascii="Arial" w:eastAsia="Times New Roman" w:hAnsi="Arial" w:cs="Arial"/>
          <w:b/>
          <w:bCs/>
          <w:sz w:val="24"/>
          <w:szCs w:val="24"/>
          <w:lang w:eastAsia="it-IT"/>
        </w:rPr>
        <w:t>bonus assunzioni donne</w:t>
      </w:r>
      <w:r w:rsidRPr="003E1219">
        <w:rPr>
          <w:rFonts w:ascii="Arial" w:eastAsia="Times New Roman" w:hAnsi="Arial" w:cs="Arial"/>
          <w:sz w:val="24"/>
          <w:szCs w:val="24"/>
          <w:lang w:eastAsia="it-IT"/>
        </w:rPr>
        <w:t xml:space="preserve"> </w:t>
      </w:r>
      <w:r w:rsidRPr="003E1219">
        <w:rPr>
          <w:rFonts w:ascii="Arial" w:eastAsia="Times New Roman" w:hAnsi="Arial" w:cs="Arial"/>
          <w:b/>
          <w:bCs/>
          <w:sz w:val="24"/>
          <w:szCs w:val="24"/>
          <w:lang w:eastAsia="it-IT"/>
        </w:rPr>
        <w:t>2026,</w:t>
      </w:r>
      <w:r w:rsidRPr="003E1219">
        <w:rPr>
          <w:rFonts w:ascii="Arial" w:eastAsia="Times New Roman" w:hAnsi="Arial" w:cs="Arial"/>
          <w:sz w:val="24"/>
          <w:szCs w:val="24"/>
          <w:lang w:eastAsia="it-IT"/>
        </w:rPr>
        <w:t xml:space="preserve"> al </w:t>
      </w:r>
      <w:r w:rsidRPr="003E1219">
        <w:rPr>
          <w:rFonts w:ascii="Arial" w:eastAsia="Times New Roman" w:hAnsi="Arial" w:cs="Arial"/>
          <w:b/>
          <w:bCs/>
          <w:sz w:val="24"/>
          <w:szCs w:val="24"/>
          <w:lang w:eastAsia="it-IT"/>
        </w:rPr>
        <w:t>bonus ZES 2026</w:t>
      </w:r>
      <w:r w:rsidRPr="003E1219">
        <w:rPr>
          <w:rFonts w:ascii="Arial" w:eastAsia="Times New Roman" w:hAnsi="Arial" w:cs="Arial"/>
          <w:sz w:val="24"/>
          <w:szCs w:val="24"/>
          <w:lang w:eastAsia="it-IT"/>
        </w:rPr>
        <w:t xml:space="preserve"> e al </w:t>
      </w:r>
      <w:r w:rsidRPr="003E1219">
        <w:rPr>
          <w:rFonts w:ascii="Arial" w:eastAsia="Times New Roman" w:hAnsi="Arial" w:cs="Arial"/>
          <w:b/>
          <w:bCs/>
          <w:sz w:val="24"/>
          <w:szCs w:val="24"/>
          <w:lang w:eastAsia="it-IT"/>
        </w:rPr>
        <w:t>bonus giovani 2026</w:t>
      </w:r>
      <w:r w:rsidRPr="003E1219">
        <w:rPr>
          <w:rFonts w:ascii="Arial" w:eastAsia="Times New Roman" w:hAnsi="Arial" w:cs="Arial"/>
          <w:sz w:val="24"/>
          <w:szCs w:val="24"/>
          <w:lang w:eastAsia="it-IT"/>
        </w:rPr>
        <w:t>, con riferimento ai datori di lavoro ammessi, ai lavoratori interessati, alla misura degli esoneri contributivi, alle condizioni di spettanza e alle modalità di presentazione delle domande.</w:t>
      </w:r>
    </w:p>
    <w:p w14:paraId="356D9888" w14:textId="7293E2F7" w:rsidR="003E1219" w:rsidRPr="003E1219" w:rsidRDefault="003E1219" w:rsidP="003E1219">
      <w:pPr>
        <w:spacing w:before="100" w:beforeAutospacing="1" w:after="100" w:afterAutospacing="1"/>
        <w:ind w:left="0"/>
        <w:rPr>
          <w:rFonts w:ascii="Arial" w:eastAsia="Times New Roman" w:hAnsi="Arial" w:cs="Arial"/>
          <w:sz w:val="24"/>
          <w:szCs w:val="24"/>
          <w:lang w:eastAsia="it-IT"/>
        </w:rPr>
      </w:pPr>
      <w:r w:rsidRPr="003E1219">
        <w:rPr>
          <w:rFonts w:ascii="Arial" w:eastAsia="Times New Roman" w:hAnsi="Arial" w:cs="Arial"/>
          <w:sz w:val="24"/>
          <w:szCs w:val="24"/>
          <w:lang w:eastAsia="it-IT"/>
        </w:rPr>
        <w:t>L’obiettivo è fornire alle aziende un quadro sintetico e operativo delle agevolazioni disponibili per le assunzioni a tempo indeterminato effettuate nel corso del 2026, evidenziando i requisiti da verificare preventivamente e gli adempimenti necessari per accedere correttamente ai benefici.</w:t>
      </w:r>
    </w:p>
    <w:p w14:paraId="7211C4A9" w14:textId="7A35F047" w:rsidR="003E1219" w:rsidRPr="003E1219" w:rsidRDefault="00BF7A0D" w:rsidP="00CC4C5E">
      <w:pPr>
        <w:pStyle w:val="Paragrafoelenco"/>
        <w:numPr>
          <w:ilvl w:val="0"/>
          <w:numId w:val="36"/>
        </w:numPr>
        <w:spacing w:before="100" w:beforeAutospacing="1" w:after="100" w:afterAutospacing="1"/>
        <w:rPr>
          <w:rFonts w:ascii="Arial" w:eastAsia="Times New Roman" w:hAnsi="Arial" w:cs="Arial"/>
          <w:b/>
          <w:bCs/>
          <w:color w:val="0070C0"/>
          <w:sz w:val="24"/>
          <w:szCs w:val="24"/>
          <w:u w:val="single"/>
          <w:lang w:eastAsia="it-IT"/>
        </w:rPr>
      </w:pPr>
      <w:r w:rsidRPr="00A12302">
        <w:rPr>
          <w:rFonts w:ascii="Arial" w:eastAsia="Times New Roman" w:hAnsi="Arial" w:cs="Arial"/>
          <w:b/>
          <w:bCs/>
          <w:color w:val="0070C0"/>
          <w:sz w:val="24"/>
          <w:szCs w:val="24"/>
          <w:u w:val="single"/>
          <w:lang w:eastAsia="it-IT"/>
        </w:rPr>
        <w:t xml:space="preserve">BONUS ASSUNZIONI DONNE 2026 – </w:t>
      </w:r>
      <w:proofErr w:type="gramStart"/>
      <w:r w:rsidRPr="00A12302">
        <w:rPr>
          <w:rFonts w:ascii="Arial" w:eastAsia="Times New Roman" w:hAnsi="Arial" w:cs="Arial"/>
          <w:b/>
          <w:bCs/>
          <w:color w:val="0070C0"/>
          <w:sz w:val="24"/>
          <w:szCs w:val="24"/>
          <w:u w:val="single"/>
          <w:lang w:eastAsia="it-IT"/>
        </w:rPr>
        <w:t xml:space="preserve">CHIARIMENTI </w:t>
      </w:r>
      <w:r w:rsidR="00CC4C5E">
        <w:rPr>
          <w:rFonts w:ascii="Arial" w:eastAsia="Times New Roman" w:hAnsi="Arial" w:cs="Arial"/>
          <w:b/>
          <w:bCs/>
          <w:color w:val="0070C0"/>
          <w:sz w:val="24"/>
          <w:szCs w:val="24"/>
          <w:u w:val="single"/>
          <w:lang w:eastAsia="it-IT"/>
        </w:rPr>
        <w:t xml:space="preserve"> </w:t>
      </w:r>
      <w:r w:rsidRPr="00A12302">
        <w:rPr>
          <w:rFonts w:ascii="Arial" w:eastAsia="Times New Roman" w:hAnsi="Arial" w:cs="Arial"/>
          <w:b/>
          <w:bCs/>
          <w:color w:val="0070C0"/>
          <w:sz w:val="24"/>
          <w:szCs w:val="24"/>
          <w:u w:val="single"/>
          <w:lang w:eastAsia="it-IT"/>
        </w:rPr>
        <w:t>INPS</w:t>
      </w:r>
      <w:proofErr w:type="gramEnd"/>
      <w:r w:rsidRPr="00A12302">
        <w:rPr>
          <w:rFonts w:ascii="Arial" w:eastAsia="Times New Roman" w:hAnsi="Arial" w:cs="Arial"/>
          <w:b/>
          <w:bCs/>
          <w:color w:val="0070C0"/>
          <w:sz w:val="24"/>
          <w:szCs w:val="24"/>
          <w:u w:val="single"/>
          <w:lang w:eastAsia="it-IT"/>
        </w:rPr>
        <w:t xml:space="preserve"> (circolare n. 5</w:t>
      </w:r>
      <w:r w:rsidR="00335F60">
        <w:rPr>
          <w:rFonts w:ascii="Arial" w:eastAsia="Times New Roman" w:hAnsi="Arial" w:cs="Arial"/>
          <w:b/>
          <w:bCs/>
          <w:color w:val="0070C0"/>
          <w:sz w:val="24"/>
          <w:szCs w:val="24"/>
          <w:u w:val="single"/>
          <w:lang w:eastAsia="it-IT"/>
        </w:rPr>
        <w:t>7</w:t>
      </w:r>
      <w:r w:rsidRPr="00A12302">
        <w:rPr>
          <w:rFonts w:ascii="Arial" w:eastAsia="Times New Roman" w:hAnsi="Arial" w:cs="Arial"/>
          <w:b/>
          <w:bCs/>
          <w:color w:val="0070C0"/>
          <w:sz w:val="24"/>
          <w:szCs w:val="24"/>
          <w:u w:val="single"/>
          <w:lang w:eastAsia="it-IT"/>
        </w:rPr>
        <w:t>/2026)</w:t>
      </w:r>
    </w:p>
    <w:p w14:paraId="368C81E1" w14:textId="77777777" w:rsidR="00BF7A0D" w:rsidRPr="00333DFF" w:rsidRDefault="00BF7A0D" w:rsidP="00BF7A0D">
      <w:pPr>
        <w:spacing w:before="100" w:beforeAutospacing="1" w:after="100" w:afterAutospacing="1"/>
        <w:ind w:left="0"/>
        <w:rPr>
          <w:rFonts w:ascii="Arial" w:eastAsia="Times New Roman" w:hAnsi="Arial" w:cs="Arial"/>
          <w:sz w:val="24"/>
          <w:szCs w:val="24"/>
          <w:lang w:eastAsia="it-IT"/>
        </w:rPr>
      </w:pPr>
      <w:r w:rsidRPr="00333DFF">
        <w:rPr>
          <w:rFonts w:ascii="Arial" w:eastAsia="Times New Roman" w:hAnsi="Arial" w:cs="Arial"/>
          <w:sz w:val="24"/>
          <w:szCs w:val="24"/>
          <w:lang w:eastAsia="it-IT"/>
        </w:rPr>
        <w:t xml:space="preserve">Con riferimento al </w:t>
      </w:r>
      <w:r w:rsidRPr="00333DFF">
        <w:rPr>
          <w:rFonts w:ascii="Arial" w:eastAsia="Times New Roman" w:hAnsi="Arial" w:cs="Arial"/>
          <w:b/>
          <w:bCs/>
          <w:sz w:val="24"/>
          <w:szCs w:val="24"/>
          <w:lang w:eastAsia="it-IT"/>
        </w:rPr>
        <w:t>bonus donne 2026</w:t>
      </w:r>
      <w:r w:rsidRPr="00333DFF">
        <w:rPr>
          <w:rFonts w:ascii="Arial" w:eastAsia="Times New Roman" w:hAnsi="Arial" w:cs="Arial"/>
          <w:sz w:val="24"/>
          <w:szCs w:val="24"/>
          <w:lang w:eastAsia="it-IT"/>
        </w:rPr>
        <w:t>, introdotto dal D.L. n. 62/2026 con l’obiettivo di favorire le pari opportunità nel mercato del lavoro e sostenere l’occupazione delle lavoratrici svantaggiate, l’INPS, con</w:t>
      </w:r>
      <w:r w:rsidRPr="00333DFF">
        <w:rPr>
          <w:rFonts w:ascii="Arial" w:eastAsia="Times New Roman" w:hAnsi="Arial" w:cs="Arial"/>
          <w:b/>
          <w:bCs/>
          <w:sz w:val="24"/>
          <w:szCs w:val="24"/>
          <w:lang w:eastAsia="it-IT"/>
        </w:rPr>
        <w:t xml:space="preserve"> circolare n. 57/2026</w:t>
      </w:r>
      <w:r w:rsidRPr="00333DFF">
        <w:rPr>
          <w:rFonts w:ascii="Arial" w:eastAsia="Times New Roman" w:hAnsi="Arial" w:cs="Arial"/>
          <w:sz w:val="24"/>
          <w:szCs w:val="24"/>
          <w:lang w:eastAsia="it-IT"/>
        </w:rPr>
        <w:t>, ha fornito le relative istruzioni operative.</w:t>
      </w:r>
    </w:p>
    <w:p w14:paraId="475F6177" w14:textId="77777777" w:rsidR="00BF7A0D" w:rsidRPr="00333DFF" w:rsidRDefault="00BF7A0D" w:rsidP="00BF7A0D">
      <w:pPr>
        <w:spacing w:before="100" w:beforeAutospacing="1" w:after="100" w:afterAutospacing="1"/>
        <w:ind w:left="0"/>
        <w:rPr>
          <w:rFonts w:ascii="Arial" w:eastAsia="Times New Roman" w:hAnsi="Arial" w:cs="Arial"/>
          <w:sz w:val="24"/>
          <w:szCs w:val="24"/>
          <w:lang w:eastAsia="it-IT"/>
        </w:rPr>
      </w:pPr>
      <w:r w:rsidRPr="00333DFF">
        <w:rPr>
          <w:rFonts w:ascii="Arial" w:eastAsia="Times New Roman" w:hAnsi="Arial" w:cs="Arial"/>
          <w:sz w:val="24"/>
          <w:szCs w:val="24"/>
          <w:lang w:eastAsia="it-IT"/>
        </w:rPr>
        <w:t>La misura consiste in un esonero dal versamento del 100% dei contributi previdenziali a carico dei datori di lavoro, riconosciuto al ricorrere di specifiche condizioni.</w:t>
      </w:r>
    </w:p>
    <w:p w14:paraId="312AEC12" w14:textId="77777777" w:rsidR="00BF7A0D" w:rsidRDefault="00BF7A0D" w:rsidP="00BF7A0D">
      <w:pPr>
        <w:ind w:left="0"/>
        <w:rPr>
          <w:rFonts w:ascii="Arial" w:eastAsia="Times New Roman" w:hAnsi="Arial" w:cs="Arial"/>
          <w:sz w:val="24"/>
          <w:szCs w:val="24"/>
          <w:lang w:eastAsia="it-IT"/>
        </w:rPr>
      </w:pPr>
      <w:r w:rsidRPr="004A591F">
        <w:rPr>
          <w:rFonts w:ascii="Arial" w:eastAsia="Times New Roman" w:hAnsi="Arial" w:cs="Arial"/>
          <w:b/>
          <w:bCs/>
          <w:color w:val="0070C0"/>
          <w:sz w:val="24"/>
          <w:szCs w:val="24"/>
          <w:lang w:eastAsia="it-IT"/>
        </w:rPr>
        <w:t>Datori di lavoro interessati</w:t>
      </w:r>
      <w:r>
        <w:rPr>
          <w:rFonts w:ascii="Arial" w:eastAsia="Times New Roman" w:hAnsi="Arial" w:cs="Arial"/>
          <w:b/>
          <w:bCs/>
          <w:color w:val="0070C0"/>
          <w:sz w:val="24"/>
          <w:szCs w:val="24"/>
          <w:lang w:eastAsia="it-IT"/>
        </w:rPr>
        <w:t xml:space="preserve">: </w:t>
      </w:r>
      <w:r w:rsidRPr="00333DFF">
        <w:rPr>
          <w:rFonts w:ascii="Arial" w:eastAsia="Times New Roman" w:hAnsi="Arial" w:cs="Arial"/>
          <w:sz w:val="24"/>
          <w:szCs w:val="24"/>
          <w:lang w:eastAsia="it-IT"/>
        </w:rPr>
        <w:t>L’esonero contributivo è riconosciuto in favore di tutti i datori di lavoro privati, indipendentemente dalla natura imprenditoriale o meno del soggetto datoriale. Rientrano tra i beneficiari anche i datori di lavoro del settore agricolo.</w:t>
      </w:r>
    </w:p>
    <w:p w14:paraId="56AF4036" w14:textId="77777777" w:rsidR="00BF7A0D" w:rsidRPr="004A591F" w:rsidRDefault="00BF7A0D" w:rsidP="00BF7A0D">
      <w:pPr>
        <w:ind w:left="0"/>
        <w:jc w:val="left"/>
        <w:rPr>
          <w:rFonts w:ascii="Arial" w:eastAsia="Times New Roman" w:hAnsi="Arial" w:cs="Arial"/>
          <w:b/>
          <w:bCs/>
          <w:color w:val="0070C0"/>
          <w:sz w:val="24"/>
          <w:szCs w:val="24"/>
          <w:lang w:eastAsia="it-IT"/>
        </w:rPr>
      </w:pPr>
    </w:p>
    <w:p w14:paraId="1C3F3102" w14:textId="77777777" w:rsidR="00BF7A0D" w:rsidRPr="004A591F" w:rsidRDefault="00BF7A0D" w:rsidP="00BF7A0D">
      <w:pPr>
        <w:ind w:left="0"/>
        <w:rPr>
          <w:rFonts w:ascii="Arial" w:eastAsia="Times New Roman" w:hAnsi="Arial" w:cs="Arial"/>
          <w:b/>
          <w:bCs/>
          <w:color w:val="0070C0"/>
          <w:sz w:val="24"/>
          <w:szCs w:val="24"/>
          <w:lang w:eastAsia="it-IT"/>
        </w:rPr>
      </w:pPr>
      <w:r w:rsidRPr="004A591F">
        <w:rPr>
          <w:rFonts w:ascii="Arial" w:eastAsia="Times New Roman" w:hAnsi="Arial" w:cs="Arial"/>
          <w:b/>
          <w:bCs/>
          <w:color w:val="0070C0"/>
          <w:sz w:val="24"/>
          <w:szCs w:val="24"/>
          <w:lang w:eastAsia="it-IT"/>
        </w:rPr>
        <w:t>Lavoratrici interessate e misura dell’agevolazione</w:t>
      </w:r>
      <w:r>
        <w:rPr>
          <w:rFonts w:ascii="Arial" w:eastAsia="Times New Roman" w:hAnsi="Arial" w:cs="Arial"/>
          <w:b/>
          <w:bCs/>
          <w:color w:val="0070C0"/>
          <w:sz w:val="24"/>
          <w:szCs w:val="24"/>
          <w:lang w:eastAsia="it-IT"/>
        </w:rPr>
        <w:t xml:space="preserve">: </w:t>
      </w:r>
      <w:r w:rsidRPr="00333DFF">
        <w:rPr>
          <w:rFonts w:ascii="Arial" w:eastAsia="Times New Roman" w:hAnsi="Arial" w:cs="Arial"/>
          <w:sz w:val="24"/>
          <w:szCs w:val="24"/>
          <w:lang w:eastAsia="it-IT"/>
        </w:rPr>
        <w:t>Il beneficio spetta in caso di assunzione con contratto di lavoro subordinato a tempo indeterminato, effettuata dal 1° gennaio 2026 al 31 dicembre 2026, di donne di qualsiasi età che, alla data dell’assunzione, risultino prive di un impiego regolarmente retribuito.</w:t>
      </w:r>
    </w:p>
    <w:p w14:paraId="3F47E7F4" w14:textId="77777777" w:rsidR="00BF7A0D" w:rsidRPr="00333DFF" w:rsidRDefault="00BF7A0D" w:rsidP="00BF7A0D">
      <w:pPr>
        <w:spacing w:before="100" w:beforeAutospacing="1" w:after="100" w:afterAutospacing="1"/>
        <w:ind w:left="0"/>
        <w:rPr>
          <w:rFonts w:ascii="Arial" w:eastAsia="Times New Roman" w:hAnsi="Arial" w:cs="Arial"/>
          <w:sz w:val="24"/>
          <w:szCs w:val="24"/>
          <w:lang w:eastAsia="it-IT"/>
        </w:rPr>
      </w:pPr>
      <w:r w:rsidRPr="00333DFF">
        <w:rPr>
          <w:rFonts w:ascii="Arial" w:eastAsia="Times New Roman" w:hAnsi="Arial" w:cs="Arial"/>
          <w:sz w:val="24"/>
          <w:szCs w:val="24"/>
          <w:lang w:eastAsia="it-IT"/>
        </w:rPr>
        <w:t>Le lavoratrici interessate sono riconducibili alle seguenti categorie:</w:t>
      </w:r>
    </w:p>
    <w:p w14:paraId="449A4765" w14:textId="77777777" w:rsidR="00BF7A0D" w:rsidRPr="00333DFF" w:rsidRDefault="00BF7A0D" w:rsidP="00BF7A0D">
      <w:pPr>
        <w:numPr>
          <w:ilvl w:val="0"/>
          <w:numId w:val="21"/>
        </w:numPr>
        <w:spacing w:before="100" w:beforeAutospacing="1" w:after="100" w:afterAutospacing="1"/>
        <w:rPr>
          <w:rFonts w:ascii="Arial" w:eastAsia="Times New Roman" w:hAnsi="Arial" w:cs="Arial"/>
          <w:sz w:val="24"/>
          <w:szCs w:val="24"/>
          <w:lang w:eastAsia="it-IT"/>
        </w:rPr>
      </w:pPr>
      <w:r w:rsidRPr="00333DFF">
        <w:rPr>
          <w:rFonts w:ascii="Arial" w:eastAsia="Times New Roman" w:hAnsi="Arial" w:cs="Arial"/>
          <w:sz w:val="24"/>
          <w:szCs w:val="24"/>
          <w:lang w:eastAsia="it-IT"/>
        </w:rPr>
        <w:t>donne prive di un impiego regolarmente retribuito da almeno 24 mesi, ovunque residenti;</w:t>
      </w:r>
    </w:p>
    <w:p w14:paraId="6DB1B9AB" w14:textId="77777777" w:rsidR="00BF7A0D" w:rsidRPr="00333DFF" w:rsidRDefault="00BF7A0D" w:rsidP="00BF7A0D">
      <w:pPr>
        <w:numPr>
          <w:ilvl w:val="0"/>
          <w:numId w:val="21"/>
        </w:numPr>
        <w:spacing w:before="100" w:beforeAutospacing="1" w:after="100" w:afterAutospacing="1"/>
        <w:rPr>
          <w:rFonts w:ascii="Arial" w:eastAsia="Times New Roman" w:hAnsi="Arial" w:cs="Arial"/>
          <w:sz w:val="24"/>
          <w:szCs w:val="24"/>
          <w:lang w:eastAsia="it-IT"/>
        </w:rPr>
      </w:pPr>
      <w:r w:rsidRPr="00333DFF">
        <w:rPr>
          <w:rFonts w:ascii="Arial" w:eastAsia="Times New Roman" w:hAnsi="Arial" w:cs="Arial"/>
          <w:sz w:val="24"/>
          <w:szCs w:val="24"/>
          <w:lang w:eastAsia="it-IT"/>
        </w:rPr>
        <w:t>donne prive di un impiego regolarmente retribuito da almeno 12 mesi e appartenenti a una delle categorie previste dall’articolo 2, lettere da b) a g), del Regolamento UE n. 651/2014;</w:t>
      </w:r>
    </w:p>
    <w:p w14:paraId="562CB601" w14:textId="77777777" w:rsidR="00BF7A0D" w:rsidRPr="00333DFF" w:rsidRDefault="00BF7A0D" w:rsidP="00BF7A0D">
      <w:pPr>
        <w:numPr>
          <w:ilvl w:val="0"/>
          <w:numId w:val="21"/>
        </w:numPr>
        <w:spacing w:before="100" w:beforeAutospacing="1" w:after="100" w:afterAutospacing="1"/>
        <w:rPr>
          <w:rFonts w:ascii="Arial" w:eastAsia="Times New Roman" w:hAnsi="Arial" w:cs="Arial"/>
          <w:sz w:val="24"/>
          <w:szCs w:val="24"/>
          <w:lang w:eastAsia="it-IT"/>
        </w:rPr>
      </w:pPr>
      <w:r w:rsidRPr="00333DFF">
        <w:rPr>
          <w:rFonts w:ascii="Arial" w:eastAsia="Times New Roman" w:hAnsi="Arial" w:cs="Arial"/>
          <w:sz w:val="24"/>
          <w:szCs w:val="24"/>
          <w:lang w:eastAsia="it-IT"/>
        </w:rPr>
        <w:t>donne appartenenti alla categoria di “lavoratore svantaggiato” di cui all’articolo 2 del Regolamento UE n. 651/2014;</w:t>
      </w:r>
    </w:p>
    <w:p w14:paraId="0C4F18F6" w14:textId="77777777" w:rsidR="00BF7A0D" w:rsidRPr="00333DFF" w:rsidRDefault="00BF7A0D" w:rsidP="00BF7A0D">
      <w:pPr>
        <w:numPr>
          <w:ilvl w:val="0"/>
          <w:numId w:val="21"/>
        </w:numPr>
        <w:spacing w:before="100" w:beforeAutospacing="1" w:after="100" w:afterAutospacing="1"/>
        <w:rPr>
          <w:rFonts w:ascii="Arial" w:eastAsia="Times New Roman" w:hAnsi="Arial" w:cs="Arial"/>
          <w:sz w:val="24"/>
          <w:szCs w:val="24"/>
          <w:lang w:eastAsia="it-IT"/>
        </w:rPr>
      </w:pPr>
      <w:r w:rsidRPr="00333DFF">
        <w:rPr>
          <w:rFonts w:ascii="Arial" w:eastAsia="Times New Roman" w:hAnsi="Arial" w:cs="Arial"/>
          <w:sz w:val="24"/>
          <w:szCs w:val="24"/>
          <w:lang w:eastAsia="it-IT"/>
        </w:rPr>
        <w:t>donne molto svantaggiate o svantaggiate, rientranti nelle precedenti categorie, residenti nelle Regioni della ZES unica ammissibili ai finanziamenti nell’ambito dei fondi strutturali dell’Unione europea.</w:t>
      </w:r>
    </w:p>
    <w:p w14:paraId="517D4B9D" w14:textId="77777777" w:rsidR="00BF7A0D" w:rsidRPr="00333DFF" w:rsidRDefault="00BF7A0D" w:rsidP="00BF7A0D">
      <w:pPr>
        <w:spacing w:before="100" w:beforeAutospacing="1" w:after="100" w:afterAutospacing="1"/>
        <w:ind w:left="0"/>
        <w:rPr>
          <w:rFonts w:ascii="Arial" w:eastAsia="Times New Roman" w:hAnsi="Arial" w:cs="Arial"/>
          <w:sz w:val="24"/>
          <w:szCs w:val="24"/>
          <w:lang w:eastAsia="it-IT"/>
        </w:rPr>
      </w:pPr>
      <w:r w:rsidRPr="00333DFF">
        <w:rPr>
          <w:rFonts w:ascii="Arial" w:eastAsia="Times New Roman" w:hAnsi="Arial" w:cs="Arial"/>
          <w:sz w:val="24"/>
          <w:szCs w:val="24"/>
          <w:lang w:eastAsia="it-IT"/>
        </w:rPr>
        <w:lastRenderedPageBreak/>
        <w:t>Per le assunzioni riconducibili alle prime tre categorie, il bonus consiste nell’esonero dal versamento del 100% dei complessivi contributi previdenziali a carico dei datori di lavoro privati, nel limite massimo di 650 euro mensili per ciascuna lavoratrice. Tale importo corrisponde a 20,96 euro per ogni giorno di fruizione dell’agevolazione.</w:t>
      </w:r>
    </w:p>
    <w:p w14:paraId="4ECAB35B" w14:textId="77777777" w:rsidR="00BF7A0D" w:rsidRPr="00333DFF" w:rsidRDefault="00BF7A0D" w:rsidP="00BF7A0D">
      <w:pPr>
        <w:spacing w:before="100" w:beforeAutospacing="1" w:after="100" w:afterAutospacing="1"/>
        <w:ind w:left="0"/>
        <w:rPr>
          <w:rFonts w:ascii="Arial" w:eastAsia="Times New Roman" w:hAnsi="Arial" w:cs="Arial"/>
          <w:sz w:val="24"/>
          <w:szCs w:val="24"/>
          <w:lang w:eastAsia="it-IT"/>
        </w:rPr>
      </w:pPr>
      <w:r w:rsidRPr="00333DFF">
        <w:rPr>
          <w:rFonts w:ascii="Arial" w:eastAsia="Times New Roman" w:hAnsi="Arial" w:cs="Arial"/>
          <w:sz w:val="24"/>
          <w:szCs w:val="24"/>
          <w:lang w:eastAsia="it-IT"/>
        </w:rPr>
        <w:t>Per le assunzioni di lavoratrici molto svantaggiate o svantaggiate residenti nella ZES unica alla data dell’assunzione, l’importo massimo dell’esonero è elevato a 800 euro mensili per ciascuna lavoratrice, pari a 25,80 euro per ogni giorno di fruizione.</w:t>
      </w:r>
    </w:p>
    <w:p w14:paraId="514F846C" w14:textId="77777777" w:rsidR="00BF7A0D" w:rsidRDefault="00BF7A0D" w:rsidP="00BF7A0D">
      <w:pPr>
        <w:spacing w:before="100" w:beforeAutospacing="1" w:after="100" w:afterAutospacing="1"/>
        <w:ind w:left="0"/>
        <w:rPr>
          <w:rFonts w:ascii="Arial" w:eastAsia="Times New Roman" w:hAnsi="Arial" w:cs="Arial"/>
          <w:sz w:val="24"/>
          <w:szCs w:val="24"/>
          <w:lang w:eastAsia="it-IT"/>
        </w:rPr>
      </w:pPr>
      <w:r w:rsidRPr="00333DFF">
        <w:rPr>
          <w:rFonts w:ascii="Arial" w:eastAsia="Times New Roman" w:hAnsi="Arial" w:cs="Arial"/>
          <w:sz w:val="24"/>
          <w:szCs w:val="24"/>
          <w:lang w:eastAsia="it-IT"/>
        </w:rPr>
        <w:t>Restano esclusi dall’esonero i premi e i contributi dovuti all’INAIL, mentre resta ferma l’aliquota di computo delle prestazioni pensionistiche.</w:t>
      </w:r>
    </w:p>
    <w:p w14:paraId="1B221C28" w14:textId="61C0674F" w:rsidR="002626F2" w:rsidRPr="00333DFF" w:rsidRDefault="002626F2" w:rsidP="00BF7A0D">
      <w:pPr>
        <w:spacing w:before="100" w:beforeAutospacing="1" w:after="100" w:afterAutospacing="1"/>
        <w:ind w:left="0"/>
        <w:rPr>
          <w:rFonts w:ascii="Arial" w:eastAsia="Times New Roman" w:hAnsi="Arial" w:cs="Arial"/>
          <w:sz w:val="24"/>
          <w:szCs w:val="24"/>
          <w:lang w:eastAsia="it-IT"/>
        </w:rPr>
      </w:pPr>
      <w:r w:rsidRPr="002626F2">
        <w:rPr>
          <w:rFonts w:ascii="Arial" w:eastAsia="Times New Roman" w:hAnsi="Arial" w:cs="Arial"/>
          <w:sz w:val="24"/>
          <w:szCs w:val="24"/>
          <w:lang w:eastAsia="it-IT"/>
        </w:rPr>
        <w:t xml:space="preserve">Quanto alla durata, l’esonero è riconosciuto per un periodo massimo di </w:t>
      </w:r>
      <w:r w:rsidRPr="002626F2">
        <w:rPr>
          <w:rFonts w:ascii="Arial" w:eastAsia="Times New Roman" w:hAnsi="Arial" w:cs="Arial"/>
          <w:b/>
          <w:bCs/>
          <w:sz w:val="24"/>
          <w:szCs w:val="24"/>
          <w:lang w:eastAsia="it-IT"/>
        </w:rPr>
        <w:t>24 mesi</w:t>
      </w:r>
      <w:r w:rsidRPr="002626F2">
        <w:rPr>
          <w:rFonts w:ascii="Arial" w:eastAsia="Times New Roman" w:hAnsi="Arial" w:cs="Arial"/>
          <w:sz w:val="24"/>
          <w:szCs w:val="24"/>
          <w:lang w:eastAsia="it-IT"/>
        </w:rPr>
        <w:t xml:space="preserve"> per le lavoratrici prive di impiego regolarmente retribuito da almeno 24 mesi, ovunque residenti, nonché per le lavoratrici prive di impiego regolarmente retribuito da almeno 12 mesi e appartenenti alle categorie di cui alle lettere da b) a g) della definizione di “lavoratore svantaggiato” prevista dal Regolamento UE n. 651/2014.</w:t>
      </w:r>
      <w:r w:rsidRPr="002626F2">
        <w:rPr>
          <w:rFonts w:ascii="Arial" w:eastAsia="Times New Roman" w:hAnsi="Arial" w:cs="Arial"/>
          <w:sz w:val="24"/>
          <w:szCs w:val="24"/>
          <w:lang w:eastAsia="it-IT"/>
        </w:rPr>
        <w:br/>
        <w:t xml:space="preserve">L’esonero è invece riconosciuto per un periodo massimo di </w:t>
      </w:r>
      <w:r w:rsidRPr="002626F2">
        <w:rPr>
          <w:rFonts w:ascii="Arial" w:eastAsia="Times New Roman" w:hAnsi="Arial" w:cs="Arial"/>
          <w:b/>
          <w:bCs/>
          <w:sz w:val="24"/>
          <w:szCs w:val="24"/>
          <w:lang w:eastAsia="it-IT"/>
        </w:rPr>
        <w:t>12 mesi</w:t>
      </w:r>
      <w:r w:rsidRPr="002626F2">
        <w:rPr>
          <w:rFonts w:ascii="Arial" w:eastAsia="Times New Roman" w:hAnsi="Arial" w:cs="Arial"/>
          <w:sz w:val="24"/>
          <w:szCs w:val="24"/>
          <w:lang w:eastAsia="it-IT"/>
        </w:rPr>
        <w:t xml:space="preserve"> per le assunzioni di donne appartenenti alle categorie di cui alle lettere da a) a g) della medesima definizione di “lavoratore svantaggiato”.</w:t>
      </w:r>
    </w:p>
    <w:p w14:paraId="421CAF25" w14:textId="3E4BA9EB" w:rsidR="001A0EA3" w:rsidRPr="00333DFF" w:rsidRDefault="00BF7A0D" w:rsidP="00BF7A0D">
      <w:pPr>
        <w:spacing w:before="100" w:beforeAutospacing="1" w:after="100" w:afterAutospacing="1"/>
        <w:ind w:left="0"/>
        <w:rPr>
          <w:rFonts w:ascii="Arial" w:eastAsia="Times New Roman" w:hAnsi="Arial" w:cs="Arial"/>
          <w:sz w:val="24"/>
          <w:szCs w:val="24"/>
          <w:lang w:eastAsia="it-IT"/>
        </w:rPr>
      </w:pPr>
      <w:r w:rsidRPr="00333DFF">
        <w:rPr>
          <w:rFonts w:ascii="Arial" w:eastAsia="Times New Roman" w:hAnsi="Arial" w:cs="Arial"/>
          <w:sz w:val="24"/>
          <w:szCs w:val="24"/>
          <w:lang w:eastAsia="it-IT"/>
        </w:rPr>
        <w:t>L’INPS precisa, inoltre, che il bonus non trova applicazione per le assunzioni a tempo determinato, né per le trasformazioni a tempo indeterminato di rapporti di lavoro a termine già in essere. Il beneficio non si applica, inoltre, ai rapporti di lavoro domestico e ai rapporti di apprendistato.</w:t>
      </w:r>
    </w:p>
    <w:p w14:paraId="4C2ACFB2" w14:textId="5F918496" w:rsidR="00BF7A0D" w:rsidRPr="00D63D3C" w:rsidRDefault="00BF7A0D" w:rsidP="00BF7A0D">
      <w:pPr>
        <w:spacing w:before="100" w:beforeAutospacing="1" w:after="100" w:afterAutospacing="1"/>
        <w:ind w:left="0"/>
        <w:rPr>
          <w:rFonts w:ascii="Arial" w:eastAsia="Times New Roman" w:hAnsi="Arial" w:cs="Arial"/>
          <w:b/>
          <w:bCs/>
          <w:color w:val="0070C0"/>
          <w:sz w:val="24"/>
          <w:szCs w:val="24"/>
          <w:lang w:eastAsia="it-IT"/>
        </w:rPr>
      </w:pPr>
      <w:r w:rsidRPr="00D63D3C">
        <w:rPr>
          <w:rFonts w:ascii="Arial" w:eastAsia="Times New Roman" w:hAnsi="Arial" w:cs="Arial"/>
          <w:b/>
          <w:bCs/>
          <w:color w:val="0070C0"/>
          <w:sz w:val="24"/>
          <w:szCs w:val="24"/>
          <w:lang w:eastAsia="it-IT"/>
        </w:rPr>
        <w:t>Condizioni di spettanza</w:t>
      </w:r>
      <w:r>
        <w:rPr>
          <w:rFonts w:ascii="Arial" w:eastAsia="Times New Roman" w:hAnsi="Arial" w:cs="Arial"/>
          <w:b/>
          <w:bCs/>
          <w:color w:val="0070C0"/>
          <w:sz w:val="24"/>
          <w:szCs w:val="24"/>
          <w:lang w:eastAsia="it-IT"/>
        </w:rPr>
        <w:t xml:space="preserve">: </w:t>
      </w:r>
      <w:r w:rsidRPr="00333DFF">
        <w:rPr>
          <w:rFonts w:ascii="Arial" w:eastAsia="Times New Roman" w:hAnsi="Arial" w:cs="Arial"/>
          <w:sz w:val="24"/>
          <w:szCs w:val="24"/>
          <w:lang w:eastAsia="it-IT"/>
        </w:rPr>
        <w:t xml:space="preserve">Il diritto alla fruizione del bonus è subordinato al rispetto dei principi generali in materia di incentivi all’assunzione previsti dall’articolo 31 del </w:t>
      </w:r>
      <w:proofErr w:type="spellStart"/>
      <w:r w:rsidRPr="00333DFF">
        <w:rPr>
          <w:rFonts w:ascii="Arial" w:eastAsia="Times New Roman" w:hAnsi="Arial" w:cs="Arial"/>
          <w:sz w:val="24"/>
          <w:szCs w:val="24"/>
          <w:lang w:eastAsia="it-IT"/>
        </w:rPr>
        <w:t>D.Lgs.</w:t>
      </w:r>
      <w:proofErr w:type="spellEnd"/>
      <w:r w:rsidRPr="00333DFF">
        <w:rPr>
          <w:rFonts w:ascii="Arial" w:eastAsia="Times New Roman" w:hAnsi="Arial" w:cs="Arial"/>
          <w:sz w:val="24"/>
          <w:szCs w:val="24"/>
          <w:lang w:eastAsia="it-IT"/>
        </w:rPr>
        <w:t xml:space="preserve"> n. 150/2015, nonché al rispetto delle condizioni di cui all’articolo 1, comma 1175, della Legge n. 296/2006.</w:t>
      </w:r>
    </w:p>
    <w:p w14:paraId="3D684012" w14:textId="636EBE4A" w:rsidR="00A02568" w:rsidRPr="00A02568" w:rsidRDefault="00A02568" w:rsidP="00333DFF">
      <w:pPr>
        <w:spacing w:before="100" w:beforeAutospacing="1" w:after="100" w:afterAutospacing="1"/>
        <w:ind w:left="0"/>
        <w:rPr>
          <w:rFonts w:ascii="Arial" w:eastAsia="Times New Roman" w:hAnsi="Arial" w:cs="Arial"/>
          <w:sz w:val="24"/>
          <w:szCs w:val="24"/>
          <w:lang w:eastAsia="it-IT"/>
        </w:rPr>
      </w:pPr>
      <w:r w:rsidRPr="00A02568">
        <w:rPr>
          <w:rFonts w:ascii="Arial" w:eastAsia="Times New Roman" w:hAnsi="Arial" w:cs="Arial"/>
          <w:sz w:val="24"/>
          <w:szCs w:val="24"/>
          <w:lang w:eastAsia="it-IT"/>
        </w:rPr>
        <w:t>L’Istituto ricorda inoltre che, a decorrere dal 1° aprile 2026, i datori di lavoro privati che richiedono benefici contributivi, comunque denominati e finanziati con risorse pubbliche, per l’assunzione di personale alle proprie dipendenze devono pubblicare la disponibilità della posizione di lavoro sul Sistema Informativo per l’Inclusione Sociale e Lavorativa (SIISL).</w:t>
      </w:r>
    </w:p>
    <w:p w14:paraId="4ECA1FC7" w14:textId="69A36BB7" w:rsidR="00ED5E70" w:rsidRPr="00333DFF" w:rsidRDefault="00ED5E70" w:rsidP="00333DFF">
      <w:pPr>
        <w:spacing w:before="100" w:beforeAutospacing="1" w:after="100" w:afterAutospacing="1"/>
        <w:ind w:left="0"/>
        <w:rPr>
          <w:rFonts w:ascii="Arial" w:eastAsia="Times New Roman" w:hAnsi="Arial" w:cs="Arial"/>
          <w:sz w:val="24"/>
          <w:szCs w:val="24"/>
          <w:lang w:eastAsia="it-IT"/>
        </w:rPr>
      </w:pPr>
      <w:r w:rsidRPr="00333DFF">
        <w:rPr>
          <w:rFonts w:ascii="Arial" w:eastAsia="Times New Roman" w:hAnsi="Arial" w:cs="Arial"/>
          <w:sz w:val="24"/>
          <w:szCs w:val="24"/>
          <w:lang w:eastAsia="it-IT"/>
        </w:rPr>
        <w:t>La legittima fruizione dell’esonero è inoltre subordinata alla sussistenza delle seguenti ulteriori condizioni:</w:t>
      </w:r>
    </w:p>
    <w:p w14:paraId="3B31EFBB" w14:textId="77777777" w:rsidR="00ED5E70" w:rsidRPr="00333DFF" w:rsidRDefault="00ED5E70" w:rsidP="00333DFF">
      <w:pPr>
        <w:numPr>
          <w:ilvl w:val="0"/>
          <w:numId w:val="22"/>
        </w:numPr>
        <w:spacing w:before="100" w:beforeAutospacing="1" w:after="100" w:afterAutospacing="1"/>
        <w:rPr>
          <w:rFonts w:ascii="Arial" w:eastAsia="Times New Roman" w:hAnsi="Arial" w:cs="Arial"/>
          <w:sz w:val="24"/>
          <w:szCs w:val="24"/>
          <w:lang w:eastAsia="it-IT"/>
        </w:rPr>
      </w:pPr>
      <w:r w:rsidRPr="00333DFF">
        <w:rPr>
          <w:rFonts w:ascii="Arial" w:eastAsia="Times New Roman" w:hAnsi="Arial" w:cs="Arial"/>
          <w:sz w:val="24"/>
          <w:szCs w:val="24"/>
          <w:lang w:eastAsia="it-IT"/>
        </w:rPr>
        <w:t xml:space="preserve">il datore di lavoro non deve aver effettuato, nei </w:t>
      </w:r>
      <w:proofErr w:type="gramStart"/>
      <w:r w:rsidRPr="00333DFF">
        <w:rPr>
          <w:rFonts w:ascii="Arial" w:eastAsia="Times New Roman" w:hAnsi="Arial" w:cs="Arial"/>
          <w:sz w:val="24"/>
          <w:szCs w:val="24"/>
          <w:lang w:eastAsia="it-IT"/>
        </w:rPr>
        <w:t>6</w:t>
      </w:r>
      <w:proofErr w:type="gramEnd"/>
      <w:r w:rsidRPr="00333DFF">
        <w:rPr>
          <w:rFonts w:ascii="Arial" w:eastAsia="Times New Roman" w:hAnsi="Arial" w:cs="Arial"/>
          <w:sz w:val="24"/>
          <w:szCs w:val="24"/>
          <w:lang w:eastAsia="it-IT"/>
        </w:rPr>
        <w:t xml:space="preserve"> mesi precedenti l’assunzione, licenziamenti individuali per giustificato motivo oggettivo o licenziamenti collettivi;</w:t>
      </w:r>
    </w:p>
    <w:p w14:paraId="05C6BBFE" w14:textId="77777777" w:rsidR="00ED5E70" w:rsidRPr="00333DFF" w:rsidRDefault="00ED5E70" w:rsidP="00333DFF">
      <w:pPr>
        <w:numPr>
          <w:ilvl w:val="0"/>
          <w:numId w:val="22"/>
        </w:numPr>
        <w:spacing w:before="100" w:beforeAutospacing="1" w:after="100" w:afterAutospacing="1"/>
        <w:rPr>
          <w:rFonts w:ascii="Arial" w:eastAsia="Times New Roman" w:hAnsi="Arial" w:cs="Arial"/>
          <w:sz w:val="24"/>
          <w:szCs w:val="24"/>
          <w:lang w:eastAsia="it-IT"/>
        </w:rPr>
      </w:pPr>
      <w:r w:rsidRPr="00333DFF">
        <w:rPr>
          <w:rFonts w:ascii="Arial" w:eastAsia="Times New Roman" w:hAnsi="Arial" w:cs="Arial"/>
          <w:sz w:val="24"/>
          <w:szCs w:val="24"/>
          <w:lang w:eastAsia="it-IT"/>
        </w:rPr>
        <w:t xml:space="preserve">il datore di lavoro non deve procedere, nei </w:t>
      </w:r>
      <w:proofErr w:type="gramStart"/>
      <w:r w:rsidRPr="00333DFF">
        <w:rPr>
          <w:rFonts w:ascii="Arial" w:eastAsia="Times New Roman" w:hAnsi="Arial" w:cs="Arial"/>
          <w:sz w:val="24"/>
          <w:szCs w:val="24"/>
          <w:lang w:eastAsia="it-IT"/>
        </w:rPr>
        <w:t>6</w:t>
      </w:r>
      <w:proofErr w:type="gramEnd"/>
      <w:r w:rsidRPr="00333DFF">
        <w:rPr>
          <w:rFonts w:ascii="Arial" w:eastAsia="Times New Roman" w:hAnsi="Arial" w:cs="Arial"/>
          <w:sz w:val="24"/>
          <w:szCs w:val="24"/>
          <w:lang w:eastAsia="it-IT"/>
        </w:rPr>
        <w:t xml:space="preserve"> mesi successivi all’assunzione, al licenziamento per giustificato motivo oggettivo della lavoratrice assunta con l’esonero o di un lavoratore impiegato con la stessa qualifica nella medesima unità produttiva;</w:t>
      </w:r>
    </w:p>
    <w:p w14:paraId="3426B7B2" w14:textId="77777777" w:rsidR="00ED5E70" w:rsidRPr="00333DFF" w:rsidRDefault="00ED5E70" w:rsidP="00333DFF">
      <w:pPr>
        <w:numPr>
          <w:ilvl w:val="0"/>
          <w:numId w:val="22"/>
        </w:numPr>
        <w:spacing w:before="100" w:beforeAutospacing="1" w:after="100" w:afterAutospacing="1"/>
        <w:rPr>
          <w:rFonts w:ascii="Arial" w:eastAsia="Times New Roman" w:hAnsi="Arial" w:cs="Arial"/>
          <w:sz w:val="24"/>
          <w:szCs w:val="24"/>
          <w:lang w:eastAsia="it-IT"/>
        </w:rPr>
      </w:pPr>
      <w:r w:rsidRPr="00333DFF">
        <w:rPr>
          <w:rFonts w:ascii="Arial" w:eastAsia="Times New Roman" w:hAnsi="Arial" w:cs="Arial"/>
          <w:sz w:val="24"/>
          <w:szCs w:val="24"/>
          <w:lang w:eastAsia="it-IT"/>
        </w:rPr>
        <w:t>l’assunzione deve determinare un incremento occupazionale netto rispetto alla media dei lavoratori occupati nei 12 mesi precedenti;</w:t>
      </w:r>
    </w:p>
    <w:p w14:paraId="4C61F8E3" w14:textId="77777777" w:rsidR="00ED5E70" w:rsidRPr="00333DFF" w:rsidRDefault="00ED5E70" w:rsidP="00333DFF">
      <w:pPr>
        <w:numPr>
          <w:ilvl w:val="0"/>
          <w:numId w:val="22"/>
        </w:numPr>
        <w:spacing w:before="100" w:beforeAutospacing="1" w:after="100" w:afterAutospacing="1"/>
        <w:rPr>
          <w:rFonts w:ascii="Arial" w:eastAsia="Times New Roman" w:hAnsi="Arial" w:cs="Arial"/>
          <w:sz w:val="24"/>
          <w:szCs w:val="24"/>
          <w:lang w:eastAsia="it-IT"/>
        </w:rPr>
      </w:pPr>
      <w:r w:rsidRPr="00333DFF">
        <w:rPr>
          <w:rFonts w:ascii="Arial" w:eastAsia="Times New Roman" w:hAnsi="Arial" w:cs="Arial"/>
          <w:sz w:val="24"/>
          <w:szCs w:val="24"/>
          <w:lang w:eastAsia="it-IT"/>
        </w:rPr>
        <w:lastRenderedPageBreak/>
        <w:t>alla lavoratrice deve essere riconosciuto un trattamento economico individuale non inferiore al trattamento economico complessivo previsto dai contratti collettivi nazionali stipulati dalle organizzazioni comparativamente più rappresentative sul piano nazionale;</w:t>
      </w:r>
    </w:p>
    <w:p w14:paraId="6595F268" w14:textId="6CB4AB8F" w:rsidR="00ED5E70" w:rsidRPr="00333DFF" w:rsidRDefault="00ED5E70" w:rsidP="00333DFF">
      <w:pPr>
        <w:numPr>
          <w:ilvl w:val="0"/>
          <w:numId w:val="22"/>
        </w:numPr>
        <w:spacing w:before="100" w:beforeAutospacing="1" w:after="100" w:afterAutospacing="1"/>
        <w:rPr>
          <w:rFonts w:ascii="Arial" w:eastAsia="Times New Roman" w:hAnsi="Arial" w:cs="Arial"/>
          <w:sz w:val="24"/>
          <w:szCs w:val="24"/>
          <w:lang w:eastAsia="it-IT"/>
        </w:rPr>
      </w:pPr>
      <w:r w:rsidRPr="00333DFF">
        <w:rPr>
          <w:rFonts w:ascii="Arial" w:eastAsia="Times New Roman" w:hAnsi="Arial" w:cs="Arial"/>
          <w:sz w:val="24"/>
          <w:szCs w:val="24"/>
          <w:lang w:eastAsia="it-IT"/>
        </w:rPr>
        <w:t xml:space="preserve">l’ammontare dell’agevolazione fruibile, in applicazione del Regolamento </w:t>
      </w:r>
      <w:r w:rsidR="000A7002">
        <w:rPr>
          <w:rFonts w:ascii="Arial" w:eastAsia="Times New Roman" w:hAnsi="Arial" w:cs="Arial"/>
          <w:sz w:val="24"/>
          <w:szCs w:val="24"/>
          <w:lang w:eastAsia="it-IT"/>
        </w:rPr>
        <w:t>(</w:t>
      </w:r>
      <w:r w:rsidRPr="00333DFF">
        <w:rPr>
          <w:rFonts w:ascii="Arial" w:eastAsia="Times New Roman" w:hAnsi="Arial" w:cs="Arial"/>
          <w:sz w:val="24"/>
          <w:szCs w:val="24"/>
          <w:lang w:eastAsia="it-IT"/>
        </w:rPr>
        <w:t>UE</w:t>
      </w:r>
      <w:r w:rsidR="00366E11">
        <w:rPr>
          <w:rFonts w:ascii="Arial" w:eastAsia="Times New Roman" w:hAnsi="Arial" w:cs="Arial"/>
          <w:sz w:val="24"/>
          <w:szCs w:val="24"/>
          <w:lang w:eastAsia="it-IT"/>
        </w:rPr>
        <w:t>)</w:t>
      </w:r>
      <w:r w:rsidRPr="00333DFF">
        <w:rPr>
          <w:rFonts w:ascii="Arial" w:eastAsia="Times New Roman" w:hAnsi="Arial" w:cs="Arial"/>
          <w:sz w:val="24"/>
          <w:szCs w:val="24"/>
          <w:lang w:eastAsia="it-IT"/>
        </w:rPr>
        <w:t xml:space="preserve"> n. 651/2014, non può superare il 50% dei costi salariali.</w:t>
      </w:r>
    </w:p>
    <w:p w14:paraId="448166BC" w14:textId="77777777" w:rsidR="00ED5E70" w:rsidRPr="00507CEF" w:rsidRDefault="00ED5E70" w:rsidP="00507CEF">
      <w:pPr>
        <w:spacing w:before="100" w:beforeAutospacing="1" w:after="100" w:afterAutospacing="1"/>
        <w:ind w:left="0"/>
        <w:rPr>
          <w:rFonts w:ascii="Arial" w:eastAsia="Times New Roman" w:hAnsi="Arial" w:cs="Arial"/>
          <w:sz w:val="24"/>
          <w:szCs w:val="24"/>
          <w:lang w:eastAsia="it-IT"/>
        </w:rPr>
      </w:pPr>
      <w:r w:rsidRPr="00507CEF">
        <w:rPr>
          <w:rFonts w:ascii="Arial" w:eastAsia="Times New Roman" w:hAnsi="Arial" w:cs="Arial"/>
          <w:sz w:val="24"/>
          <w:szCs w:val="24"/>
          <w:lang w:eastAsia="it-IT"/>
        </w:rPr>
        <w:t>Ai fini della verifica dell’incremento occupazionale netto, il numero dei dipendenti deve essere calcolato in Unità di Lavoro Annuo, secondo il criterio convenzionale proprio del diritto comunitario. Il calcolo della forza lavoro mediamente occupata deve essere effettuato e mantenuto per ciascun mese.</w:t>
      </w:r>
    </w:p>
    <w:p w14:paraId="334F03CD" w14:textId="77777777" w:rsidR="00ED5E70" w:rsidRPr="00507CEF" w:rsidRDefault="00ED5E70" w:rsidP="00507CEF">
      <w:pPr>
        <w:spacing w:before="100" w:beforeAutospacing="1" w:after="100" w:afterAutospacing="1"/>
        <w:ind w:left="0"/>
        <w:rPr>
          <w:rFonts w:ascii="Arial" w:eastAsia="Times New Roman" w:hAnsi="Arial" w:cs="Arial"/>
          <w:sz w:val="24"/>
          <w:szCs w:val="24"/>
          <w:lang w:eastAsia="it-IT"/>
        </w:rPr>
      </w:pPr>
      <w:r w:rsidRPr="00507CEF">
        <w:rPr>
          <w:rFonts w:ascii="Arial" w:eastAsia="Times New Roman" w:hAnsi="Arial" w:cs="Arial"/>
          <w:sz w:val="24"/>
          <w:szCs w:val="24"/>
          <w:lang w:eastAsia="it-IT"/>
        </w:rPr>
        <w:t>L’incremento deve essere valutato con riferimento all’intera organizzazione del datore di lavoro e non alla singola unità produttiva presso cui si svolge la prestazione lavorativa. L’agevolazione resta comunque applicabile qualora l’incremento occupazionale netto non si realizzi a causa di posti rimasti vacanti per dimissioni volontarie, invalidità, pensionamento per raggiunti limiti d’età, riduzione volontaria dell’orario di lavoro o licenziamento per giusta causa.</w:t>
      </w:r>
    </w:p>
    <w:p w14:paraId="7951B094" w14:textId="77777777" w:rsidR="00ED5E70" w:rsidRPr="00507CEF" w:rsidRDefault="00ED5E70" w:rsidP="00507CEF">
      <w:pPr>
        <w:spacing w:before="100" w:beforeAutospacing="1" w:after="100" w:afterAutospacing="1"/>
        <w:ind w:left="0"/>
        <w:rPr>
          <w:rFonts w:ascii="Arial" w:eastAsia="Times New Roman" w:hAnsi="Arial" w:cs="Arial"/>
          <w:sz w:val="24"/>
          <w:szCs w:val="24"/>
          <w:lang w:eastAsia="it-IT"/>
        </w:rPr>
      </w:pPr>
      <w:r w:rsidRPr="00507CEF">
        <w:rPr>
          <w:rFonts w:ascii="Arial" w:eastAsia="Times New Roman" w:hAnsi="Arial" w:cs="Arial"/>
          <w:sz w:val="24"/>
          <w:szCs w:val="24"/>
          <w:lang w:eastAsia="it-IT"/>
        </w:rPr>
        <w:t>Il venir meno dell’incremento occupazionale comporta la perdita del beneficio per il mese di calendario di riferimento. L’eventuale ripristino dell’incremento nei mesi successivi consente nuovamente la fruizione del beneficio dal mese di ripristino fino alla scadenza originaria, senza possibilità di recuperare quanto perso nei mesi precedenti.</w:t>
      </w:r>
    </w:p>
    <w:p w14:paraId="4DF00730" w14:textId="77777777" w:rsidR="00ED5E70" w:rsidRPr="00507CEF" w:rsidRDefault="00ED5E70" w:rsidP="00507CEF">
      <w:pPr>
        <w:spacing w:before="100" w:beforeAutospacing="1" w:after="100" w:afterAutospacing="1"/>
        <w:ind w:left="0"/>
        <w:rPr>
          <w:rFonts w:ascii="Arial" w:eastAsia="Times New Roman" w:hAnsi="Arial" w:cs="Arial"/>
          <w:sz w:val="24"/>
          <w:szCs w:val="24"/>
          <w:lang w:eastAsia="it-IT"/>
        </w:rPr>
      </w:pPr>
      <w:r w:rsidRPr="00507CEF">
        <w:rPr>
          <w:rFonts w:ascii="Arial" w:eastAsia="Times New Roman" w:hAnsi="Arial" w:cs="Arial"/>
          <w:sz w:val="24"/>
          <w:szCs w:val="24"/>
          <w:lang w:eastAsia="it-IT"/>
        </w:rPr>
        <w:t>Tenuto conto della natura dell’agevolazione quale aiuto di Stato, l’INPS provvede alla registrazione degli esoneri nel Registro Nazionale degli aiuti di Stato.</w:t>
      </w:r>
    </w:p>
    <w:p w14:paraId="0DE94DB4" w14:textId="7C835733" w:rsidR="00ED5E70" w:rsidRPr="00807894" w:rsidRDefault="00ED5E70" w:rsidP="00807894">
      <w:pPr>
        <w:spacing w:before="100" w:beforeAutospacing="1" w:after="100" w:afterAutospacing="1"/>
        <w:ind w:left="0"/>
        <w:rPr>
          <w:rFonts w:ascii="Arial" w:eastAsia="Times New Roman" w:hAnsi="Arial" w:cs="Arial"/>
          <w:b/>
          <w:bCs/>
          <w:color w:val="0070C0"/>
          <w:sz w:val="24"/>
          <w:szCs w:val="24"/>
          <w:lang w:eastAsia="it-IT"/>
        </w:rPr>
      </w:pPr>
      <w:r w:rsidRPr="00807894">
        <w:rPr>
          <w:rFonts w:ascii="Arial" w:eastAsia="Times New Roman" w:hAnsi="Arial" w:cs="Arial"/>
          <w:b/>
          <w:bCs/>
          <w:color w:val="0070C0"/>
          <w:sz w:val="24"/>
          <w:szCs w:val="24"/>
          <w:lang w:eastAsia="it-IT"/>
        </w:rPr>
        <w:t>Coordinamento con altri esoneri contributivi</w:t>
      </w:r>
      <w:r w:rsidR="00807894">
        <w:rPr>
          <w:rFonts w:ascii="Arial" w:eastAsia="Times New Roman" w:hAnsi="Arial" w:cs="Arial"/>
          <w:b/>
          <w:bCs/>
          <w:color w:val="0070C0"/>
          <w:sz w:val="24"/>
          <w:szCs w:val="24"/>
          <w:lang w:eastAsia="it-IT"/>
        </w:rPr>
        <w:t xml:space="preserve">: </w:t>
      </w:r>
      <w:r w:rsidRPr="00507CEF">
        <w:rPr>
          <w:rFonts w:ascii="Arial" w:eastAsia="Times New Roman" w:hAnsi="Arial" w:cs="Arial"/>
          <w:sz w:val="24"/>
          <w:szCs w:val="24"/>
          <w:lang w:eastAsia="it-IT"/>
        </w:rPr>
        <w:t>Il bonus donne 2026 non è cumulabile con altri esoneri o riduzioni delle aliquote di finanziamento previsti dalla normativa vigente.</w:t>
      </w:r>
    </w:p>
    <w:p w14:paraId="4A56BDB1" w14:textId="77777777" w:rsidR="00ED5E70" w:rsidRPr="00507CEF" w:rsidRDefault="00ED5E70" w:rsidP="00807894">
      <w:pPr>
        <w:spacing w:before="100" w:beforeAutospacing="1" w:after="100" w:afterAutospacing="1"/>
        <w:ind w:left="0"/>
        <w:rPr>
          <w:rFonts w:ascii="Arial" w:eastAsia="Times New Roman" w:hAnsi="Arial" w:cs="Arial"/>
          <w:sz w:val="24"/>
          <w:szCs w:val="24"/>
          <w:lang w:eastAsia="it-IT"/>
        </w:rPr>
      </w:pPr>
      <w:r w:rsidRPr="00507CEF">
        <w:rPr>
          <w:rFonts w:ascii="Arial" w:eastAsia="Times New Roman" w:hAnsi="Arial" w:cs="Arial"/>
          <w:sz w:val="24"/>
          <w:szCs w:val="24"/>
          <w:lang w:eastAsia="it-IT"/>
        </w:rPr>
        <w:t>In particolare, l’agevolazione non è cumulabile con l’incentivo per l’assunzione dei lavoratori disabili di cui all’articolo 13 della Legge n. 68/1999, né con la riduzione contributiva prevista per i datori di lavoro agricoli che occupano personale nei territori montani o nelle singole zone svantaggiate. Non è inoltre cumulabile con le riduzioni contributive previste per il settore dell’edilizia.</w:t>
      </w:r>
    </w:p>
    <w:p w14:paraId="7CB81E31" w14:textId="77777777" w:rsidR="00ED5E70" w:rsidRPr="00507CEF" w:rsidRDefault="00ED5E70" w:rsidP="00507CEF">
      <w:pPr>
        <w:spacing w:before="100" w:beforeAutospacing="1" w:after="100" w:afterAutospacing="1"/>
        <w:ind w:left="0"/>
        <w:rPr>
          <w:rFonts w:ascii="Arial" w:eastAsia="Times New Roman" w:hAnsi="Arial" w:cs="Arial"/>
          <w:sz w:val="24"/>
          <w:szCs w:val="24"/>
          <w:lang w:eastAsia="it-IT"/>
        </w:rPr>
      </w:pPr>
      <w:r w:rsidRPr="00507CEF">
        <w:rPr>
          <w:rFonts w:ascii="Arial" w:eastAsia="Times New Roman" w:hAnsi="Arial" w:cs="Arial"/>
          <w:sz w:val="24"/>
          <w:szCs w:val="24"/>
          <w:lang w:eastAsia="it-IT"/>
        </w:rPr>
        <w:t>L’agevolazione è invece compatibile, senza alcuna riduzione, con la maggiorazione del costo ammesso in deduzione in presenza di nuove assunzioni prevista dall’articolo 1, commi 399 e 400, della Legge di Bilancio 2025. Risulta altresì cumulabile con le agevolazioni che consistono in una riduzione della contribuzione previdenziale a carico della lavoratrice, come ad esempio l’esonero sulla quota dei contributi previdenziali IVS a carico della lavoratrice madre.</w:t>
      </w:r>
    </w:p>
    <w:p w14:paraId="3239897E" w14:textId="27CF6458" w:rsidR="00ED5E70" w:rsidRPr="00807894" w:rsidRDefault="00ED5E70" w:rsidP="00807894">
      <w:pPr>
        <w:spacing w:before="100" w:beforeAutospacing="1" w:after="100" w:afterAutospacing="1"/>
        <w:ind w:left="0"/>
        <w:rPr>
          <w:rFonts w:ascii="Arial" w:eastAsia="Times New Roman" w:hAnsi="Arial" w:cs="Arial"/>
          <w:b/>
          <w:bCs/>
          <w:color w:val="0070C0"/>
          <w:sz w:val="24"/>
          <w:szCs w:val="24"/>
          <w:lang w:eastAsia="it-IT"/>
        </w:rPr>
      </w:pPr>
      <w:r w:rsidRPr="00807894">
        <w:rPr>
          <w:rFonts w:ascii="Arial" w:eastAsia="Times New Roman" w:hAnsi="Arial" w:cs="Arial"/>
          <w:b/>
          <w:bCs/>
          <w:color w:val="0070C0"/>
          <w:sz w:val="24"/>
          <w:szCs w:val="24"/>
          <w:lang w:eastAsia="it-IT"/>
        </w:rPr>
        <w:t>Richiesta di ammissione al bonus</w:t>
      </w:r>
      <w:r w:rsidR="00807894">
        <w:rPr>
          <w:rFonts w:ascii="Arial" w:eastAsia="Times New Roman" w:hAnsi="Arial" w:cs="Arial"/>
          <w:b/>
          <w:bCs/>
          <w:color w:val="0070C0"/>
          <w:sz w:val="24"/>
          <w:szCs w:val="24"/>
          <w:lang w:eastAsia="it-IT"/>
        </w:rPr>
        <w:t xml:space="preserve">: </w:t>
      </w:r>
      <w:r w:rsidRPr="00507CEF">
        <w:rPr>
          <w:rFonts w:ascii="Arial" w:eastAsia="Times New Roman" w:hAnsi="Arial" w:cs="Arial"/>
          <w:sz w:val="24"/>
          <w:szCs w:val="24"/>
          <w:lang w:eastAsia="it-IT"/>
        </w:rPr>
        <w:t xml:space="preserve">Considerato il limite di spesa previsto, il datore di lavoro, al fine di conoscere con certezza l’ammontare del beneficio spettante e l’eventuale </w:t>
      </w:r>
      <w:r w:rsidRPr="00507CEF">
        <w:rPr>
          <w:rFonts w:ascii="Arial" w:eastAsia="Times New Roman" w:hAnsi="Arial" w:cs="Arial"/>
          <w:sz w:val="24"/>
          <w:szCs w:val="24"/>
          <w:lang w:eastAsia="it-IT"/>
        </w:rPr>
        <w:lastRenderedPageBreak/>
        <w:t>residua disponibilità delle risorse, deve presentare apposita domanda di ammissione all’INPS.</w:t>
      </w:r>
    </w:p>
    <w:p w14:paraId="645C7226" w14:textId="77777777" w:rsidR="00ED5E70" w:rsidRPr="00507CEF" w:rsidRDefault="00ED5E70" w:rsidP="00507CEF">
      <w:pPr>
        <w:spacing w:before="100" w:beforeAutospacing="1" w:after="100" w:afterAutospacing="1"/>
        <w:ind w:left="0"/>
        <w:rPr>
          <w:rFonts w:ascii="Arial" w:eastAsia="Times New Roman" w:hAnsi="Arial" w:cs="Arial"/>
          <w:sz w:val="24"/>
          <w:szCs w:val="24"/>
          <w:lang w:eastAsia="it-IT"/>
        </w:rPr>
      </w:pPr>
      <w:r w:rsidRPr="00507CEF">
        <w:rPr>
          <w:rFonts w:ascii="Arial" w:eastAsia="Times New Roman" w:hAnsi="Arial" w:cs="Arial"/>
          <w:sz w:val="24"/>
          <w:szCs w:val="24"/>
          <w:lang w:eastAsia="it-IT"/>
        </w:rPr>
        <w:t xml:space="preserve">La domanda deve essere trasmessa esclusivamente tramite il modulo di istanza online, appositamente aggiornato e disponibile sul sito istituzionale dell’Istituto, nella sezione “Portale delle Agevolazioni (ex </w:t>
      </w:r>
      <w:proofErr w:type="spellStart"/>
      <w:r w:rsidRPr="00507CEF">
        <w:rPr>
          <w:rFonts w:ascii="Arial" w:eastAsia="Times New Roman" w:hAnsi="Arial" w:cs="Arial"/>
          <w:sz w:val="24"/>
          <w:szCs w:val="24"/>
          <w:lang w:eastAsia="it-IT"/>
        </w:rPr>
        <w:t>DiResCo</w:t>
      </w:r>
      <w:proofErr w:type="spellEnd"/>
      <w:r w:rsidRPr="00507CEF">
        <w:rPr>
          <w:rFonts w:ascii="Arial" w:eastAsia="Times New Roman" w:hAnsi="Arial" w:cs="Arial"/>
          <w:sz w:val="24"/>
          <w:szCs w:val="24"/>
          <w:lang w:eastAsia="it-IT"/>
        </w:rPr>
        <w:t>) – Bonus donne 2026”. L’INPS precisa che la messa a disposizione del modulo sarà comunicata con successivo messaggio.</w:t>
      </w:r>
    </w:p>
    <w:p w14:paraId="499411AB" w14:textId="77777777" w:rsidR="00ED5E70" w:rsidRPr="00507CEF" w:rsidRDefault="00ED5E70" w:rsidP="00507CEF">
      <w:pPr>
        <w:spacing w:before="100" w:beforeAutospacing="1" w:after="100" w:afterAutospacing="1"/>
        <w:ind w:left="0"/>
        <w:rPr>
          <w:rFonts w:ascii="Arial" w:eastAsia="Times New Roman" w:hAnsi="Arial" w:cs="Arial"/>
          <w:sz w:val="24"/>
          <w:szCs w:val="24"/>
          <w:lang w:eastAsia="it-IT"/>
        </w:rPr>
      </w:pPr>
      <w:r w:rsidRPr="00507CEF">
        <w:rPr>
          <w:rFonts w:ascii="Arial" w:eastAsia="Times New Roman" w:hAnsi="Arial" w:cs="Arial"/>
          <w:sz w:val="24"/>
          <w:szCs w:val="24"/>
          <w:lang w:eastAsia="it-IT"/>
        </w:rPr>
        <w:t>La domanda può essere presentata sia per assunzioni già effettuate sia per rapporti di lavoro non ancora instaurati.</w:t>
      </w:r>
    </w:p>
    <w:p w14:paraId="50769C3F" w14:textId="77777777" w:rsidR="00ED5E70" w:rsidRPr="00507CEF" w:rsidRDefault="00ED5E70" w:rsidP="00507CEF">
      <w:pPr>
        <w:spacing w:before="100" w:beforeAutospacing="1" w:after="100" w:afterAutospacing="1"/>
        <w:ind w:left="0"/>
        <w:rPr>
          <w:rFonts w:ascii="Arial" w:eastAsia="Times New Roman" w:hAnsi="Arial" w:cs="Arial"/>
          <w:sz w:val="24"/>
          <w:szCs w:val="24"/>
          <w:lang w:eastAsia="it-IT"/>
        </w:rPr>
      </w:pPr>
      <w:r w:rsidRPr="00507CEF">
        <w:rPr>
          <w:rFonts w:ascii="Arial" w:eastAsia="Times New Roman" w:hAnsi="Arial" w:cs="Arial"/>
          <w:sz w:val="24"/>
          <w:szCs w:val="24"/>
          <w:lang w:eastAsia="it-IT"/>
        </w:rPr>
        <w:t>Una volta ricevuta la domanda telematica, l’INPS provvede, tramite i propri sistemi informativi centrali, a calcolare l’ammontare del beneficio spettante, a consultare il Registro Nazionale degli aiuti di Stato e a fornire riscontro sull’accoglimento della domanda qualora vi sia sufficiente capienza di risorse e i controlli abbiano avuto esito positivo.</w:t>
      </w:r>
    </w:p>
    <w:p w14:paraId="7154EF88" w14:textId="77777777" w:rsidR="00ED5E70" w:rsidRPr="00507CEF" w:rsidRDefault="00ED5E70" w:rsidP="00507CEF">
      <w:pPr>
        <w:spacing w:before="100" w:beforeAutospacing="1" w:after="100" w:afterAutospacing="1"/>
        <w:ind w:left="0"/>
        <w:rPr>
          <w:rFonts w:ascii="Arial" w:eastAsia="Times New Roman" w:hAnsi="Arial" w:cs="Arial"/>
          <w:sz w:val="24"/>
          <w:szCs w:val="24"/>
          <w:lang w:eastAsia="it-IT"/>
        </w:rPr>
      </w:pPr>
      <w:r w:rsidRPr="00507CEF">
        <w:rPr>
          <w:rFonts w:ascii="Arial" w:eastAsia="Times New Roman" w:hAnsi="Arial" w:cs="Arial"/>
          <w:sz w:val="24"/>
          <w:szCs w:val="24"/>
          <w:lang w:eastAsia="it-IT"/>
        </w:rPr>
        <w:t xml:space="preserve">L’Istituto invita i datori di lavoro a prestare particolare attenzione nella corretta compilazione dei moduli telematici e delle comunicazioni obbligatorie, </w:t>
      </w:r>
      <w:proofErr w:type="spellStart"/>
      <w:r w:rsidRPr="00507CEF">
        <w:rPr>
          <w:rFonts w:ascii="Arial" w:eastAsia="Times New Roman" w:hAnsi="Arial" w:cs="Arial"/>
          <w:sz w:val="24"/>
          <w:szCs w:val="24"/>
          <w:lang w:eastAsia="it-IT"/>
        </w:rPr>
        <w:t>Unilav</w:t>
      </w:r>
      <w:proofErr w:type="spellEnd"/>
      <w:r w:rsidRPr="00507CEF">
        <w:rPr>
          <w:rFonts w:ascii="Arial" w:eastAsia="Times New Roman" w:hAnsi="Arial" w:cs="Arial"/>
          <w:sz w:val="24"/>
          <w:szCs w:val="24"/>
          <w:lang w:eastAsia="it-IT"/>
        </w:rPr>
        <w:t xml:space="preserve"> o </w:t>
      </w:r>
      <w:proofErr w:type="spellStart"/>
      <w:r w:rsidRPr="00507CEF">
        <w:rPr>
          <w:rFonts w:ascii="Arial" w:eastAsia="Times New Roman" w:hAnsi="Arial" w:cs="Arial"/>
          <w:sz w:val="24"/>
          <w:szCs w:val="24"/>
          <w:lang w:eastAsia="it-IT"/>
        </w:rPr>
        <w:t>Unisomm</w:t>
      </w:r>
      <w:proofErr w:type="spellEnd"/>
      <w:r w:rsidRPr="00507CEF">
        <w:rPr>
          <w:rFonts w:ascii="Arial" w:eastAsia="Times New Roman" w:hAnsi="Arial" w:cs="Arial"/>
          <w:sz w:val="24"/>
          <w:szCs w:val="24"/>
          <w:lang w:eastAsia="it-IT"/>
        </w:rPr>
        <w:t>, relative al rapporto di lavoro per il quale viene richiesto l’esonero.</w:t>
      </w:r>
    </w:p>
    <w:p w14:paraId="1D44E62D" w14:textId="2450B37C" w:rsidR="000840F1" w:rsidRPr="000840F1" w:rsidRDefault="00ED5E70" w:rsidP="0082158E">
      <w:pPr>
        <w:spacing w:before="100" w:beforeAutospacing="1" w:after="100" w:afterAutospacing="1"/>
        <w:ind w:left="0"/>
        <w:rPr>
          <w:rFonts w:ascii="Arial" w:eastAsia="Times New Roman" w:hAnsi="Arial" w:cs="Arial"/>
          <w:sz w:val="24"/>
          <w:szCs w:val="24"/>
          <w:lang w:eastAsia="it-IT"/>
        </w:rPr>
      </w:pPr>
      <w:r w:rsidRPr="00507CEF">
        <w:rPr>
          <w:rFonts w:ascii="Arial" w:eastAsia="Times New Roman" w:hAnsi="Arial" w:cs="Arial"/>
          <w:sz w:val="24"/>
          <w:szCs w:val="24"/>
          <w:lang w:eastAsia="it-IT"/>
        </w:rPr>
        <w:t>L’importo dell’esonero riconosciuto dalle procedure telematiche costituisce l’ammontare massimo dell’agevolazione fruibile nelle denunce contributive.</w:t>
      </w:r>
      <w:r w:rsidR="000840F1" w:rsidRPr="0020051E">
        <w:rPr>
          <w:rFonts w:ascii="Arial" w:eastAsia="Times New Roman" w:hAnsi="Arial" w:cs="Arial"/>
          <w:sz w:val="24"/>
          <w:szCs w:val="24"/>
          <w:lang w:eastAsia="it-IT"/>
        </w:rPr>
        <w:t xml:space="preserve"> </w:t>
      </w:r>
      <w:r w:rsidR="000840F1" w:rsidRPr="000840F1">
        <w:rPr>
          <w:rFonts w:ascii="Arial" w:eastAsia="Times New Roman" w:hAnsi="Arial" w:cs="Arial"/>
          <w:sz w:val="24"/>
          <w:szCs w:val="24"/>
          <w:lang w:eastAsia="it-IT"/>
        </w:rPr>
        <w:t xml:space="preserve">L’Istituto provvede ai necessari </w:t>
      </w:r>
      <w:r w:rsidR="0069109D" w:rsidRPr="000840F1">
        <w:rPr>
          <w:rFonts w:ascii="Arial" w:eastAsia="Times New Roman" w:hAnsi="Arial" w:cs="Arial"/>
          <w:sz w:val="24"/>
          <w:szCs w:val="24"/>
          <w:lang w:eastAsia="it-IT"/>
        </w:rPr>
        <w:t>controlli attraverso</w:t>
      </w:r>
      <w:r w:rsidR="000840F1" w:rsidRPr="000840F1">
        <w:rPr>
          <w:rFonts w:ascii="Arial" w:eastAsia="Times New Roman" w:hAnsi="Arial" w:cs="Arial"/>
          <w:sz w:val="24"/>
          <w:szCs w:val="24"/>
          <w:lang w:eastAsia="it-IT"/>
        </w:rPr>
        <w:t xml:space="preserve"> la consultazione </w:t>
      </w:r>
      <w:r w:rsidR="00844D4D" w:rsidRPr="000840F1">
        <w:rPr>
          <w:rFonts w:ascii="Arial" w:eastAsia="Times New Roman" w:hAnsi="Arial" w:cs="Arial"/>
          <w:sz w:val="24"/>
          <w:szCs w:val="24"/>
          <w:lang w:eastAsia="it-IT"/>
        </w:rPr>
        <w:t>delle informazioni</w:t>
      </w:r>
      <w:r w:rsidR="000840F1" w:rsidRPr="000840F1">
        <w:rPr>
          <w:rFonts w:ascii="Arial" w:eastAsia="Times New Roman" w:hAnsi="Arial" w:cs="Arial"/>
          <w:sz w:val="24"/>
          <w:szCs w:val="24"/>
          <w:lang w:eastAsia="it-IT"/>
        </w:rPr>
        <w:t xml:space="preserve"> presenti nelle proprie banche dati, nonché</w:t>
      </w:r>
      <w:r w:rsidR="0020051E" w:rsidRPr="0020051E">
        <w:rPr>
          <w:rFonts w:ascii="Arial" w:eastAsia="Times New Roman" w:hAnsi="Arial" w:cs="Arial"/>
          <w:sz w:val="24"/>
          <w:szCs w:val="24"/>
          <w:lang w:eastAsia="it-IT"/>
        </w:rPr>
        <w:t xml:space="preserve"> delle eventuali informazioni presenti nelle banche dati del Ministero del Lavoro e delle </w:t>
      </w:r>
      <w:r w:rsidR="00844D4D">
        <w:rPr>
          <w:rFonts w:ascii="Arial" w:eastAsia="Times New Roman" w:hAnsi="Arial" w:cs="Arial"/>
          <w:sz w:val="24"/>
          <w:szCs w:val="24"/>
          <w:lang w:eastAsia="it-IT"/>
        </w:rPr>
        <w:t>Politiche Sociali</w:t>
      </w:r>
      <w:r w:rsidR="0020051E" w:rsidRPr="0020051E">
        <w:rPr>
          <w:rFonts w:ascii="Arial" w:eastAsia="Times New Roman" w:hAnsi="Arial" w:cs="Arial"/>
          <w:sz w:val="24"/>
          <w:szCs w:val="24"/>
          <w:lang w:eastAsia="it-IT"/>
        </w:rPr>
        <w:t>, dell’INL e del CNE</w:t>
      </w:r>
      <w:r w:rsidR="0020051E">
        <w:rPr>
          <w:rFonts w:ascii="Arial" w:eastAsia="Times New Roman" w:hAnsi="Arial" w:cs="Arial"/>
          <w:sz w:val="24"/>
          <w:szCs w:val="24"/>
          <w:lang w:eastAsia="it-IT"/>
        </w:rPr>
        <w:t>L.</w:t>
      </w:r>
    </w:p>
    <w:p w14:paraId="766EEA48" w14:textId="0554D569" w:rsidR="00CA1D37" w:rsidRPr="00A12302" w:rsidRDefault="00B07CE5" w:rsidP="00A12302">
      <w:pPr>
        <w:pStyle w:val="Paragrafoelenco"/>
        <w:numPr>
          <w:ilvl w:val="0"/>
          <w:numId w:val="36"/>
        </w:numPr>
        <w:spacing w:before="100" w:beforeAutospacing="1" w:after="100" w:afterAutospacing="1"/>
        <w:jc w:val="left"/>
        <w:rPr>
          <w:rFonts w:ascii="Arial" w:eastAsia="Times New Roman" w:hAnsi="Arial" w:cs="Arial"/>
          <w:b/>
          <w:bCs/>
          <w:color w:val="0070C0"/>
          <w:sz w:val="24"/>
          <w:szCs w:val="24"/>
          <w:u w:val="single"/>
          <w:lang w:eastAsia="it-IT"/>
        </w:rPr>
      </w:pPr>
      <w:r w:rsidRPr="00A12302">
        <w:rPr>
          <w:rFonts w:ascii="Arial" w:eastAsia="Times New Roman" w:hAnsi="Arial" w:cs="Arial"/>
          <w:b/>
          <w:bCs/>
          <w:color w:val="0070C0"/>
          <w:sz w:val="24"/>
          <w:szCs w:val="24"/>
          <w:u w:val="single"/>
          <w:lang w:eastAsia="it-IT"/>
        </w:rPr>
        <w:t xml:space="preserve">BONUS ZES 2026 – </w:t>
      </w:r>
      <w:r w:rsidR="00CA1D37" w:rsidRPr="00A12302">
        <w:rPr>
          <w:rFonts w:ascii="Arial" w:eastAsia="Times New Roman" w:hAnsi="Arial" w:cs="Arial"/>
          <w:b/>
          <w:bCs/>
          <w:color w:val="0070C0"/>
          <w:sz w:val="24"/>
          <w:szCs w:val="24"/>
          <w:u w:val="single"/>
          <w:lang w:eastAsia="it-IT"/>
        </w:rPr>
        <w:t>CHIARIMENTI INPS (circolare n. 5</w:t>
      </w:r>
      <w:r w:rsidR="00530908">
        <w:rPr>
          <w:rFonts w:ascii="Arial" w:eastAsia="Times New Roman" w:hAnsi="Arial" w:cs="Arial"/>
          <w:b/>
          <w:bCs/>
          <w:color w:val="0070C0"/>
          <w:sz w:val="24"/>
          <w:szCs w:val="24"/>
          <w:u w:val="single"/>
          <w:lang w:eastAsia="it-IT"/>
        </w:rPr>
        <w:t>6</w:t>
      </w:r>
      <w:r w:rsidR="00CA1D37" w:rsidRPr="00A12302">
        <w:rPr>
          <w:rFonts w:ascii="Arial" w:eastAsia="Times New Roman" w:hAnsi="Arial" w:cs="Arial"/>
          <w:b/>
          <w:bCs/>
          <w:color w:val="0070C0"/>
          <w:sz w:val="24"/>
          <w:szCs w:val="24"/>
          <w:u w:val="single"/>
          <w:lang w:eastAsia="it-IT"/>
        </w:rPr>
        <w:t>/2026)</w:t>
      </w:r>
    </w:p>
    <w:p w14:paraId="6E7F598D" w14:textId="181EC3D2" w:rsidR="001A1EA1" w:rsidRPr="001A1EA1" w:rsidRDefault="001A1EA1" w:rsidP="00CA1D37">
      <w:pPr>
        <w:spacing w:before="100" w:beforeAutospacing="1" w:after="100" w:afterAutospacing="1"/>
        <w:ind w:left="0"/>
        <w:jc w:val="left"/>
        <w:rPr>
          <w:rFonts w:ascii="Arial" w:eastAsia="Times New Roman" w:hAnsi="Arial" w:cs="Arial"/>
          <w:sz w:val="24"/>
          <w:szCs w:val="24"/>
          <w:lang w:eastAsia="it-IT"/>
        </w:rPr>
      </w:pPr>
      <w:r w:rsidRPr="001A1EA1">
        <w:rPr>
          <w:rFonts w:ascii="Arial" w:eastAsia="Times New Roman" w:hAnsi="Arial" w:cs="Arial"/>
          <w:sz w:val="24"/>
          <w:szCs w:val="24"/>
          <w:lang w:eastAsia="it-IT"/>
        </w:rPr>
        <w:t xml:space="preserve">L’INPS, con </w:t>
      </w:r>
      <w:r w:rsidRPr="001A1EA1">
        <w:rPr>
          <w:rFonts w:ascii="Arial" w:eastAsia="Times New Roman" w:hAnsi="Arial" w:cs="Arial"/>
          <w:b/>
          <w:bCs/>
          <w:sz w:val="24"/>
          <w:szCs w:val="24"/>
          <w:lang w:eastAsia="it-IT"/>
        </w:rPr>
        <w:t xml:space="preserve">circolare n. 56 del 14 maggio 2026, </w:t>
      </w:r>
      <w:r w:rsidRPr="001A1EA1">
        <w:rPr>
          <w:rFonts w:ascii="Arial" w:eastAsia="Times New Roman" w:hAnsi="Arial" w:cs="Arial"/>
          <w:sz w:val="24"/>
          <w:szCs w:val="24"/>
          <w:lang w:eastAsia="it-IT"/>
        </w:rPr>
        <w:t>ha fornito le prime indicazioni operative in merito al bonus ZES 2026, introdotto dall’articolo 3 del D.L. n. 62/2026.</w:t>
      </w:r>
    </w:p>
    <w:p w14:paraId="269B748E" w14:textId="77777777" w:rsidR="001A1EA1" w:rsidRPr="001A1EA1" w:rsidRDefault="001A1EA1" w:rsidP="001A1EA1">
      <w:pPr>
        <w:spacing w:before="100" w:beforeAutospacing="1" w:after="100" w:afterAutospacing="1"/>
        <w:ind w:left="0"/>
        <w:rPr>
          <w:rFonts w:ascii="Arial" w:eastAsia="Times New Roman" w:hAnsi="Arial" w:cs="Arial"/>
          <w:sz w:val="24"/>
          <w:szCs w:val="24"/>
          <w:lang w:eastAsia="it-IT"/>
        </w:rPr>
      </w:pPr>
      <w:r w:rsidRPr="001A1EA1">
        <w:rPr>
          <w:rFonts w:ascii="Arial" w:eastAsia="Times New Roman" w:hAnsi="Arial" w:cs="Arial"/>
          <w:sz w:val="24"/>
          <w:szCs w:val="24"/>
          <w:lang w:eastAsia="it-IT"/>
        </w:rPr>
        <w:t>La misura prevede un esonero contributivo totale in favore dei datori di lavoro privati che effettuano assunzioni a tempo indeterminato presso sedi o unità produttive ubicate nelle Regioni della ZES unica per il Mezzogiorno, ossia Abruzzo, Basilicata, Calabria, Campania, Marche, Molise, Puglia, Sicilia, Sardegna e Umbria.</w:t>
      </w:r>
    </w:p>
    <w:p w14:paraId="34D328A7" w14:textId="77777777" w:rsidR="001A1EA1" w:rsidRPr="001A1EA1" w:rsidRDefault="001A1EA1" w:rsidP="001A1EA1">
      <w:pPr>
        <w:spacing w:before="100" w:beforeAutospacing="1" w:after="100" w:afterAutospacing="1"/>
        <w:ind w:left="0"/>
        <w:rPr>
          <w:rFonts w:ascii="Arial" w:eastAsia="Times New Roman" w:hAnsi="Arial" w:cs="Arial"/>
          <w:sz w:val="24"/>
          <w:szCs w:val="24"/>
          <w:lang w:eastAsia="it-IT"/>
        </w:rPr>
      </w:pPr>
      <w:r w:rsidRPr="001A1EA1">
        <w:rPr>
          <w:rFonts w:ascii="Arial" w:eastAsia="Times New Roman" w:hAnsi="Arial" w:cs="Arial"/>
          <w:sz w:val="24"/>
          <w:szCs w:val="24"/>
          <w:lang w:eastAsia="it-IT"/>
        </w:rPr>
        <w:t>L’Istituto chiarisce l’ambito soggettivo e oggettivo di applicazione dell’incentivo, le condizioni di spettanza, il coordinamento con altre agevolazioni contributive e le modalità operative per la presentazione delle domande di accesso al beneficio.</w:t>
      </w:r>
    </w:p>
    <w:p w14:paraId="4DABB271" w14:textId="578FA83E" w:rsidR="001A1EA1" w:rsidRPr="00B07CE5" w:rsidRDefault="001A1EA1" w:rsidP="00B07CE5">
      <w:pPr>
        <w:spacing w:before="100" w:beforeAutospacing="1" w:after="100" w:afterAutospacing="1"/>
        <w:ind w:left="0"/>
        <w:rPr>
          <w:rFonts w:ascii="Arial" w:eastAsia="Times New Roman" w:hAnsi="Arial" w:cs="Arial"/>
          <w:color w:val="0070C0"/>
          <w:sz w:val="24"/>
          <w:szCs w:val="24"/>
          <w:lang w:eastAsia="it-IT"/>
        </w:rPr>
      </w:pPr>
      <w:r w:rsidRPr="00B07CE5">
        <w:rPr>
          <w:rFonts w:ascii="Arial" w:eastAsia="Times New Roman" w:hAnsi="Arial" w:cs="Arial"/>
          <w:b/>
          <w:bCs/>
          <w:color w:val="0070C0"/>
          <w:sz w:val="24"/>
          <w:szCs w:val="24"/>
          <w:lang w:eastAsia="it-IT"/>
        </w:rPr>
        <w:t>Ambito di applicazione</w:t>
      </w:r>
      <w:r w:rsidR="00B07CE5">
        <w:rPr>
          <w:rFonts w:ascii="Arial" w:eastAsia="Times New Roman" w:hAnsi="Arial" w:cs="Arial"/>
          <w:color w:val="0070C0"/>
          <w:sz w:val="24"/>
          <w:szCs w:val="24"/>
          <w:lang w:eastAsia="it-IT"/>
        </w:rPr>
        <w:t xml:space="preserve">: </w:t>
      </w:r>
      <w:r w:rsidRPr="001A1EA1">
        <w:rPr>
          <w:rFonts w:ascii="Arial" w:eastAsia="Times New Roman" w:hAnsi="Arial" w:cs="Arial"/>
          <w:sz w:val="24"/>
          <w:szCs w:val="24"/>
          <w:lang w:eastAsia="it-IT"/>
        </w:rPr>
        <w:t>Il beneficio si applica alle assunzioni effettuate dal 1° gennaio 2026 al 31 dicembre 2026 e riguarda esclusivamente personale non dirigenziale assunto con contratto di lavoro subordinato a tempo indeterminato.</w:t>
      </w:r>
    </w:p>
    <w:p w14:paraId="4EE970DE" w14:textId="77777777" w:rsidR="001A1EA1" w:rsidRPr="001A1EA1" w:rsidRDefault="001A1EA1" w:rsidP="001A1EA1">
      <w:pPr>
        <w:spacing w:before="100" w:beforeAutospacing="1" w:after="100" w:afterAutospacing="1"/>
        <w:ind w:left="0"/>
        <w:rPr>
          <w:rFonts w:ascii="Arial" w:eastAsia="Times New Roman" w:hAnsi="Arial" w:cs="Arial"/>
          <w:sz w:val="24"/>
          <w:szCs w:val="24"/>
          <w:lang w:eastAsia="it-IT"/>
        </w:rPr>
      </w:pPr>
      <w:r w:rsidRPr="001A1EA1">
        <w:rPr>
          <w:rFonts w:ascii="Arial" w:eastAsia="Times New Roman" w:hAnsi="Arial" w:cs="Arial"/>
          <w:sz w:val="24"/>
          <w:szCs w:val="24"/>
          <w:lang w:eastAsia="it-IT"/>
        </w:rPr>
        <w:lastRenderedPageBreak/>
        <w:t>L’agevolazione consiste nell’esonero dal versamento del 100% dei contributi previdenziali a carico del datore di lavoro, con esclusione dei premi e contributi INAIL, nel limite massimo di 650 euro mensili per ciascun lavoratore. Resta ferma l’aliquota di computo delle prestazioni pensionistiche.</w:t>
      </w:r>
    </w:p>
    <w:p w14:paraId="6C9BC9FD" w14:textId="77777777" w:rsidR="001A1EA1" w:rsidRPr="001A1EA1" w:rsidRDefault="001A1EA1" w:rsidP="001A1EA1">
      <w:pPr>
        <w:spacing w:before="100" w:beforeAutospacing="1" w:after="100" w:afterAutospacing="1"/>
        <w:ind w:left="0"/>
        <w:rPr>
          <w:rFonts w:ascii="Arial" w:eastAsia="Times New Roman" w:hAnsi="Arial" w:cs="Arial"/>
          <w:sz w:val="24"/>
          <w:szCs w:val="24"/>
          <w:lang w:eastAsia="it-IT"/>
        </w:rPr>
      </w:pPr>
      <w:r w:rsidRPr="001A1EA1">
        <w:rPr>
          <w:rFonts w:ascii="Arial" w:eastAsia="Times New Roman" w:hAnsi="Arial" w:cs="Arial"/>
          <w:sz w:val="24"/>
          <w:szCs w:val="24"/>
          <w:lang w:eastAsia="it-IT"/>
        </w:rPr>
        <w:t>La durata massima del beneficio è pari a 24 mesi.</w:t>
      </w:r>
    </w:p>
    <w:p w14:paraId="2FA0EAD8" w14:textId="30897B45" w:rsidR="001A1EA1" w:rsidRPr="001A1EA1" w:rsidRDefault="001A1EA1" w:rsidP="001A1EA1">
      <w:pPr>
        <w:spacing w:before="100" w:beforeAutospacing="1" w:after="100" w:afterAutospacing="1"/>
        <w:ind w:left="0"/>
        <w:rPr>
          <w:rFonts w:ascii="Arial" w:eastAsia="Times New Roman" w:hAnsi="Arial" w:cs="Arial"/>
          <w:sz w:val="24"/>
          <w:szCs w:val="24"/>
          <w:lang w:eastAsia="it-IT"/>
        </w:rPr>
      </w:pPr>
      <w:r w:rsidRPr="001A1EA1">
        <w:rPr>
          <w:rFonts w:ascii="Arial" w:eastAsia="Times New Roman" w:hAnsi="Arial" w:cs="Arial"/>
          <w:sz w:val="24"/>
          <w:szCs w:val="24"/>
          <w:lang w:eastAsia="it-IT"/>
        </w:rPr>
        <w:t xml:space="preserve">Possono accedere all’esonero tutti i datori di lavoro privati, anche non imprenditori, compresi i datori di lavoro agricoli. Restano escluse le Pubbliche Amministrazioni individuate ai sensi dell’articolo 1, comma 2, del </w:t>
      </w:r>
      <w:proofErr w:type="spellStart"/>
      <w:r w:rsidRPr="001A1EA1">
        <w:rPr>
          <w:rFonts w:ascii="Arial" w:eastAsia="Times New Roman" w:hAnsi="Arial" w:cs="Arial"/>
          <w:sz w:val="24"/>
          <w:szCs w:val="24"/>
          <w:lang w:eastAsia="it-IT"/>
        </w:rPr>
        <w:t>D.Lgs.</w:t>
      </w:r>
      <w:proofErr w:type="spellEnd"/>
      <w:r w:rsidRPr="001A1EA1">
        <w:rPr>
          <w:rFonts w:ascii="Arial" w:eastAsia="Times New Roman" w:hAnsi="Arial" w:cs="Arial"/>
          <w:sz w:val="24"/>
          <w:szCs w:val="24"/>
          <w:lang w:eastAsia="it-IT"/>
        </w:rPr>
        <w:t xml:space="preserve"> n. 165/2001.</w:t>
      </w:r>
    </w:p>
    <w:p w14:paraId="4B5E24BA" w14:textId="77777777" w:rsidR="001A1EA1" w:rsidRPr="001A1EA1" w:rsidRDefault="001A1EA1" w:rsidP="001A1EA1">
      <w:pPr>
        <w:spacing w:before="100" w:beforeAutospacing="1" w:after="100" w:afterAutospacing="1"/>
        <w:ind w:left="0"/>
        <w:rPr>
          <w:rFonts w:ascii="Arial" w:eastAsia="Times New Roman" w:hAnsi="Arial" w:cs="Arial"/>
          <w:sz w:val="24"/>
          <w:szCs w:val="24"/>
          <w:lang w:eastAsia="it-IT"/>
        </w:rPr>
      </w:pPr>
      <w:r w:rsidRPr="001A1EA1">
        <w:rPr>
          <w:rFonts w:ascii="Arial" w:eastAsia="Times New Roman" w:hAnsi="Arial" w:cs="Arial"/>
          <w:sz w:val="24"/>
          <w:szCs w:val="24"/>
          <w:lang w:eastAsia="it-IT"/>
        </w:rPr>
        <w:t>Ai fini del riconoscimento dell’agevolazione è necessario che il lavoratore svolga effettivamente la prestazione lavorativa presso una sede o unità produttiva ubicata in una delle Regioni della ZES unica, indipendentemente dalla sede legale del datore di lavoro o dalla residenza del lavoratore assunto.</w:t>
      </w:r>
    </w:p>
    <w:p w14:paraId="75B3DF9D" w14:textId="77777777" w:rsidR="001A1EA1" w:rsidRPr="001A1EA1" w:rsidRDefault="001A1EA1" w:rsidP="001A1EA1">
      <w:pPr>
        <w:spacing w:before="100" w:beforeAutospacing="1" w:after="100" w:afterAutospacing="1"/>
        <w:ind w:left="0"/>
        <w:rPr>
          <w:rFonts w:ascii="Arial" w:eastAsia="Times New Roman" w:hAnsi="Arial" w:cs="Arial"/>
          <w:sz w:val="24"/>
          <w:szCs w:val="24"/>
          <w:lang w:eastAsia="it-IT"/>
        </w:rPr>
      </w:pPr>
      <w:r w:rsidRPr="001A1EA1">
        <w:rPr>
          <w:rFonts w:ascii="Arial" w:eastAsia="Times New Roman" w:hAnsi="Arial" w:cs="Arial"/>
          <w:sz w:val="24"/>
          <w:szCs w:val="24"/>
          <w:lang w:eastAsia="it-IT"/>
        </w:rPr>
        <w:t>La perdita del requisito territoriale comporta la cessazione dell’agevolazione a decorrere dal mese successivo al trasferimento fuori dall’area agevolata.</w:t>
      </w:r>
    </w:p>
    <w:p w14:paraId="79D4DCD1" w14:textId="1A65D204" w:rsidR="001A1EA1" w:rsidRPr="00B07CE5" w:rsidRDefault="001A1EA1" w:rsidP="00B07CE5">
      <w:pPr>
        <w:spacing w:before="100" w:beforeAutospacing="1" w:after="100" w:afterAutospacing="1"/>
        <w:ind w:left="0"/>
        <w:rPr>
          <w:rFonts w:ascii="Arial" w:eastAsia="Times New Roman" w:hAnsi="Arial" w:cs="Arial"/>
          <w:color w:val="0070C0"/>
          <w:sz w:val="24"/>
          <w:szCs w:val="24"/>
          <w:lang w:eastAsia="it-IT"/>
        </w:rPr>
      </w:pPr>
      <w:r w:rsidRPr="00B07CE5">
        <w:rPr>
          <w:rFonts w:ascii="Arial" w:eastAsia="Times New Roman" w:hAnsi="Arial" w:cs="Arial"/>
          <w:b/>
          <w:bCs/>
          <w:color w:val="0070C0"/>
          <w:sz w:val="24"/>
          <w:szCs w:val="24"/>
          <w:lang w:eastAsia="it-IT"/>
        </w:rPr>
        <w:t>Requisito dimensionale e lavoratori interessati</w:t>
      </w:r>
      <w:r w:rsidR="00B07CE5">
        <w:rPr>
          <w:rFonts w:ascii="Arial" w:eastAsia="Times New Roman" w:hAnsi="Arial" w:cs="Arial"/>
          <w:color w:val="0070C0"/>
          <w:sz w:val="24"/>
          <w:szCs w:val="24"/>
          <w:lang w:eastAsia="it-IT"/>
        </w:rPr>
        <w:t xml:space="preserve">: </w:t>
      </w:r>
      <w:r w:rsidRPr="0082158E">
        <w:rPr>
          <w:rFonts w:ascii="Arial" w:eastAsia="Times New Roman" w:hAnsi="Arial" w:cs="Arial"/>
          <w:sz w:val="24"/>
          <w:szCs w:val="24"/>
          <w:lang w:eastAsia="it-IT"/>
        </w:rPr>
        <w:t xml:space="preserve">Il bonus può essere riconosciuto esclusivamente ai datori di lavoro che, nel mese in cui effettuano l’assunzione incentivata, occupano fino a un massimo di </w:t>
      </w:r>
      <w:proofErr w:type="gramStart"/>
      <w:r w:rsidRPr="0082158E">
        <w:rPr>
          <w:rFonts w:ascii="Arial" w:eastAsia="Times New Roman" w:hAnsi="Arial" w:cs="Arial"/>
          <w:sz w:val="24"/>
          <w:szCs w:val="24"/>
          <w:lang w:eastAsia="it-IT"/>
        </w:rPr>
        <w:t>10</w:t>
      </w:r>
      <w:proofErr w:type="gramEnd"/>
      <w:r w:rsidRPr="0082158E">
        <w:rPr>
          <w:rFonts w:ascii="Arial" w:eastAsia="Times New Roman" w:hAnsi="Arial" w:cs="Arial"/>
          <w:sz w:val="24"/>
          <w:szCs w:val="24"/>
          <w:lang w:eastAsia="it-IT"/>
        </w:rPr>
        <w:t xml:space="preserve"> dipendenti.</w:t>
      </w:r>
    </w:p>
    <w:p w14:paraId="762847CA"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Tale requisito deve essere verificato soltanto nel mese dell’assunzione e non rilevano eventuali successive variazioni dell’organico aziendale. Ai fini del computo del limite dimensionale, i lavoratori per i quali si intende richiedere l’incentivo devono essere esclusi dal conteggio.</w:t>
      </w:r>
    </w:p>
    <w:p w14:paraId="025718FB"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Con riferimento ai lavoratori incentivabili, l’INPS precisa che il beneficio riguarda soggetti che, alla data dell’assunzione, abbiano compiuto 35 anni e risultino disoccupati da almeno 24 mesi.</w:t>
      </w:r>
    </w:p>
    <w:p w14:paraId="62660DC1"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Il datore di lavoro, nella domanda di accesso all’esonero, dovrà dichiarare la sussistenza del requisito in capo al lavoratore assunto.</w:t>
      </w:r>
    </w:p>
    <w:p w14:paraId="7A215621" w14:textId="5C0A8976" w:rsidR="001A1EA1" w:rsidRPr="00B07CE5" w:rsidRDefault="001A1EA1" w:rsidP="00B07CE5">
      <w:pPr>
        <w:spacing w:before="100" w:beforeAutospacing="1" w:after="100" w:afterAutospacing="1"/>
        <w:ind w:left="0"/>
        <w:rPr>
          <w:rFonts w:ascii="Arial" w:eastAsia="Times New Roman" w:hAnsi="Arial" w:cs="Arial"/>
          <w:color w:val="0070C0"/>
          <w:sz w:val="24"/>
          <w:szCs w:val="24"/>
          <w:lang w:eastAsia="it-IT"/>
        </w:rPr>
      </w:pPr>
      <w:r w:rsidRPr="00B07CE5">
        <w:rPr>
          <w:rFonts w:ascii="Arial" w:eastAsia="Times New Roman" w:hAnsi="Arial" w:cs="Arial"/>
          <w:b/>
          <w:bCs/>
          <w:color w:val="0070C0"/>
          <w:sz w:val="24"/>
          <w:szCs w:val="24"/>
          <w:lang w:eastAsia="it-IT"/>
        </w:rPr>
        <w:t>Rapporti incentivabili e misura dell’esonero</w:t>
      </w:r>
      <w:r w:rsidR="00B07CE5">
        <w:rPr>
          <w:rFonts w:ascii="Arial" w:eastAsia="Times New Roman" w:hAnsi="Arial" w:cs="Arial"/>
          <w:color w:val="0070C0"/>
          <w:sz w:val="24"/>
          <w:szCs w:val="24"/>
          <w:lang w:eastAsia="it-IT"/>
        </w:rPr>
        <w:t xml:space="preserve">: </w:t>
      </w:r>
      <w:r w:rsidRPr="0082158E">
        <w:rPr>
          <w:rFonts w:ascii="Arial" w:eastAsia="Times New Roman" w:hAnsi="Arial" w:cs="Arial"/>
          <w:sz w:val="24"/>
          <w:szCs w:val="24"/>
          <w:lang w:eastAsia="it-IT"/>
        </w:rPr>
        <w:t>L’esonero spetta esclusivamente per assunzioni a tempo indeterminato e non è riconoscibile nelle ipotesi di trasformazione di rapporti a termine già in essere.</w:t>
      </w:r>
    </w:p>
    <w:p w14:paraId="6BF234FC"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Sono esclusi dal beneficio i contratti di apprendistato, il lavoro domestico e il lavoro intermittente, anche se stipulato a tempo indeterminato.</w:t>
      </w:r>
    </w:p>
    <w:p w14:paraId="45E79FA8"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L’agevolazione è invece applicabile ai rapporti part-time, alle assunzioni effettuate da cooperative di lavoro e ai rapporti instaurati mediante somministrazione a tempo indeterminato, anche qualora la missione presso l’utilizzatore sia a termine.</w:t>
      </w:r>
    </w:p>
    <w:p w14:paraId="61E4D076"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lastRenderedPageBreak/>
        <w:t>In caso di assunzione o cessazione in corso di mese, il massimale di 650 euro deve essere riproporzionato su base giornaliera, assumendo come parametro l’importo di 20,96 euro per ciascun giorno di fruizione. In caso di rapporto part-time, il massimale deve essere ridotto proporzionalmente all’orario di lavoro svolto.</w:t>
      </w:r>
    </w:p>
    <w:p w14:paraId="221E364E"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Il periodo di fruizione dell’esonero può essere sospeso esclusivamente nei casi di assenza obbligatoria per maternità.</w:t>
      </w:r>
    </w:p>
    <w:p w14:paraId="7C161657"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L’esonero può essere riconosciuto anche nel caso in cui il lavoratore sia già stato assunto a tempo indeterminato presso un diverso datore di lavoro che abbia fruito solo parzialmente dell’agevolazione. In tale ipotesi, il nuovo datore di lavoro può subentrare nel beneficio per il periodo residuo ancora disponibile, purché la nuova assunzione intervenga entro il 31 dicembre 2026 e vi sia stata una precedente autorizzazione alla fruizione dell’incentivo.</w:t>
      </w:r>
    </w:p>
    <w:p w14:paraId="73FFDF3A" w14:textId="254ADEA2" w:rsidR="001A1EA1" w:rsidRPr="00B07CE5" w:rsidRDefault="001A1EA1" w:rsidP="00B07CE5">
      <w:pPr>
        <w:spacing w:before="100" w:beforeAutospacing="1" w:after="100" w:afterAutospacing="1"/>
        <w:ind w:left="0"/>
        <w:jc w:val="left"/>
        <w:rPr>
          <w:rFonts w:ascii="Arial" w:eastAsia="Times New Roman" w:hAnsi="Arial" w:cs="Arial"/>
          <w:color w:val="0070C0"/>
          <w:sz w:val="24"/>
          <w:szCs w:val="24"/>
          <w:lang w:eastAsia="it-IT"/>
        </w:rPr>
      </w:pPr>
      <w:r w:rsidRPr="00B07CE5">
        <w:rPr>
          <w:rFonts w:ascii="Arial" w:eastAsia="Times New Roman" w:hAnsi="Arial" w:cs="Arial"/>
          <w:b/>
          <w:bCs/>
          <w:color w:val="0070C0"/>
          <w:sz w:val="24"/>
          <w:szCs w:val="24"/>
          <w:lang w:eastAsia="it-IT"/>
        </w:rPr>
        <w:t>Condizioni di spettanza</w:t>
      </w:r>
      <w:r w:rsidR="00B07CE5">
        <w:rPr>
          <w:rFonts w:ascii="Arial" w:eastAsia="Times New Roman" w:hAnsi="Arial" w:cs="Arial"/>
          <w:color w:val="0070C0"/>
          <w:sz w:val="24"/>
          <w:szCs w:val="24"/>
          <w:lang w:eastAsia="it-IT"/>
        </w:rPr>
        <w:t xml:space="preserve">: </w:t>
      </w:r>
      <w:r w:rsidRPr="0082158E">
        <w:rPr>
          <w:rFonts w:ascii="Arial" w:eastAsia="Times New Roman" w:hAnsi="Arial" w:cs="Arial"/>
          <w:sz w:val="24"/>
          <w:szCs w:val="24"/>
          <w:lang w:eastAsia="it-IT"/>
        </w:rPr>
        <w:t xml:space="preserve">Il diritto alla fruizione dell’agevolazione è subordinato al rispetto dei principi generali in materia di incentivi all’occupazione di cui all’articolo 31 del </w:t>
      </w:r>
      <w:proofErr w:type="spellStart"/>
      <w:r w:rsidRPr="0082158E">
        <w:rPr>
          <w:rFonts w:ascii="Arial" w:eastAsia="Times New Roman" w:hAnsi="Arial" w:cs="Arial"/>
          <w:sz w:val="24"/>
          <w:szCs w:val="24"/>
          <w:lang w:eastAsia="it-IT"/>
        </w:rPr>
        <w:t>D.Lgs.</w:t>
      </w:r>
      <w:proofErr w:type="spellEnd"/>
      <w:r w:rsidRPr="0082158E">
        <w:rPr>
          <w:rFonts w:ascii="Arial" w:eastAsia="Times New Roman" w:hAnsi="Arial" w:cs="Arial"/>
          <w:sz w:val="24"/>
          <w:szCs w:val="24"/>
          <w:lang w:eastAsia="it-IT"/>
        </w:rPr>
        <w:t xml:space="preserve"> n. 150/2015.</w:t>
      </w:r>
    </w:p>
    <w:p w14:paraId="3A239C4C"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È inoltre richiesto il possesso del DURC regolare, l’assenza di violazioni in materia di lavoro e sicurezza e il rispetto dei contratti collettivi stipulati dalle organizzazioni comparativamente più rappresentative sul piano nazionale.</w:t>
      </w:r>
    </w:p>
    <w:p w14:paraId="032FDC91"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L’INPS richiama anche il nuovo obbligo di pubblicazione delle vacancy sul SIISL previsto dal D.L. n. 159/2025, precisando tuttavia che, nelle more del decreto attuativo, tale adempimento non assume ancora carattere obbligatorio ai fini della fruizione dell’esonero.</w:t>
      </w:r>
    </w:p>
    <w:p w14:paraId="5E2D48B1"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Tra le principali cause ostative alla fruizione dell’agevolazione rientrano:</w:t>
      </w:r>
    </w:p>
    <w:p w14:paraId="0A4A99FB" w14:textId="77777777" w:rsidR="001A1EA1" w:rsidRPr="0082158E" w:rsidRDefault="001A1EA1" w:rsidP="001A1EA1">
      <w:pPr>
        <w:numPr>
          <w:ilvl w:val="0"/>
          <w:numId w:val="23"/>
        </w:numPr>
        <w:spacing w:before="100" w:beforeAutospacing="1" w:after="100" w:afterAutospacing="1"/>
        <w:jc w:val="left"/>
        <w:rPr>
          <w:rFonts w:ascii="Arial" w:eastAsia="Times New Roman" w:hAnsi="Arial" w:cs="Arial"/>
          <w:sz w:val="24"/>
          <w:szCs w:val="24"/>
          <w:lang w:eastAsia="it-IT"/>
        </w:rPr>
      </w:pPr>
      <w:r w:rsidRPr="0082158E">
        <w:rPr>
          <w:rFonts w:ascii="Arial" w:eastAsia="Times New Roman" w:hAnsi="Arial" w:cs="Arial"/>
          <w:sz w:val="24"/>
          <w:szCs w:val="24"/>
          <w:lang w:eastAsia="it-IT"/>
        </w:rPr>
        <w:t>le assunzioni effettuate in attuazione di obblighi di legge o contrattuali;</w:t>
      </w:r>
    </w:p>
    <w:p w14:paraId="6B01D6F9" w14:textId="77777777" w:rsidR="001A1EA1" w:rsidRPr="0082158E" w:rsidRDefault="001A1EA1" w:rsidP="001A1EA1">
      <w:pPr>
        <w:numPr>
          <w:ilvl w:val="0"/>
          <w:numId w:val="23"/>
        </w:numPr>
        <w:spacing w:before="100" w:beforeAutospacing="1" w:after="100" w:afterAutospacing="1"/>
        <w:jc w:val="left"/>
        <w:rPr>
          <w:rFonts w:ascii="Arial" w:eastAsia="Times New Roman" w:hAnsi="Arial" w:cs="Arial"/>
          <w:sz w:val="24"/>
          <w:szCs w:val="24"/>
          <w:lang w:eastAsia="it-IT"/>
        </w:rPr>
      </w:pPr>
      <w:r w:rsidRPr="0082158E">
        <w:rPr>
          <w:rFonts w:ascii="Arial" w:eastAsia="Times New Roman" w:hAnsi="Arial" w:cs="Arial"/>
          <w:sz w:val="24"/>
          <w:szCs w:val="24"/>
          <w:lang w:eastAsia="it-IT"/>
        </w:rPr>
        <w:t>la violazione di diritti di precedenza alla riassunzione;</w:t>
      </w:r>
    </w:p>
    <w:p w14:paraId="40A0EF6A" w14:textId="77777777" w:rsidR="001A1EA1" w:rsidRPr="0082158E" w:rsidRDefault="001A1EA1" w:rsidP="001A1EA1">
      <w:pPr>
        <w:numPr>
          <w:ilvl w:val="0"/>
          <w:numId w:val="23"/>
        </w:numPr>
        <w:spacing w:before="100" w:beforeAutospacing="1" w:after="100" w:afterAutospacing="1"/>
        <w:jc w:val="left"/>
        <w:rPr>
          <w:rFonts w:ascii="Arial" w:eastAsia="Times New Roman" w:hAnsi="Arial" w:cs="Arial"/>
          <w:sz w:val="24"/>
          <w:szCs w:val="24"/>
          <w:lang w:eastAsia="it-IT"/>
        </w:rPr>
      </w:pPr>
      <w:r w:rsidRPr="0082158E">
        <w:rPr>
          <w:rFonts w:ascii="Arial" w:eastAsia="Times New Roman" w:hAnsi="Arial" w:cs="Arial"/>
          <w:sz w:val="24"/>
          <w:szCs w:val="24"/>
          <w:lang w:eastAsia="it-IT"/>
        </w:rPr>
        <w:t>la presenza di sospensioni dal lavoro connesse a crisi o riorganizzazioni aziendali;</w:t>
      </w:r>
    </w:p>
    <w:p w14:paraId="790D9124" w14:textId="77777777" w:rsidR="001A1EA1" w:rsidRPr="0082158E" w:rsidRDefault="001A1EA1" w:rsidP="001A1EA1">
      <w:pPr>
        <w:numPr>
          <w:ilvl w:val="0"/>
          <w:numId w:val="23"/>
        </w:numPr>
        <w:spacing w:before="100" w:beforeAutospacing="1" w:after="100" w:afterAutospacing="1"/>
        <w:jc w:val="left"/>
        <w:rPr>
          <w:rFonts w:ascii="Arial" w:eastAsia="Times New Roman" w:hAnsi="Arial" w:cs="Arial"/>
          <w:sz w:val="24"/>
          <w:szCs w:val="24"/>
          <w:lang w:eastAsia="it-IT"/>
        </w:rPr>
      </w:pPr>
      <w:r w:rsidRPr="0082158E">
        <w:rPr>
          <w:rFonts w:ascii="Arial" w:eastAsia="Times New Roman" w:hAnsi="Arial" w:cs="Arial"/>
          <w:sz w:val="24"/>
          <w:szCs w:val="24"/>
          <w:lang w:eastAsia="it-IT"/>
        </w:rPr>
        <w:t xml:space="preserve">le assunzioni di lavoratori licenziati nei </w:t>
      </w:r>
      <w:proofErr w:type="gramStart"/>
      <w:r w:rsidRPr="0082158E">
        <w:rPr>
          <w:rFonts w:ascii="Arial" w:eastAsia="Times New Roman" w:hAnsi="Arial" w:cs="Arial"/>
          <w:sz w:val="24"/>
          <w:szCs w:val="24"/>
          <w:lang w:eastAsia="it-IT"/>
        </w:rPr>
        <w:t>6</w:t>
      </w:r>
      <w:proofErr w:type="gramEnd"/>
      <w:r w:rsidRPr="0082158E">
        <w:rPr>
          <w:rFonts w:ascii="Arial" w:eastAsia="Times New Roman" w:hAnsi="Arial" w:cs="Arial"/>
          <w:sz w:val="24"/>
          <w:szCs w:val="24"/>
          <w:lang w:eastAsia="it-IT"/>
        </w:rPr>
        <w:t xml:space="preserve"> mesi precedenti da datori di lavoro con assetti proprietari sostanzialmente coincidenti.</w:t>
      </w:r>
    </w:p>
    <w:p w14:paraId="188617E7" w14:textId="5BCF0D86"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 xml:space="preserve">La circolare </w:t>
      </w:r>
      <w:r w:rsidR="00B07CE5" w:rsidRPr="0082158E">
        <w:rPr>
          <w:rFonts w:ascii="Arial" w:eastAsia="Times New Roman" w:hAnsi="Arial" w:cs="Arial"/>
          <w:sz w:val="24"/>
          <w:szCs w:val="24"/>
          <w:lang w:eastAsia="it-IT"/>
        </w:rPr>
        <w:t>precisa, inoltre,</w:t>
      </w:r>
      <w:r w:rsidRPr="0082158E">
        <w:rPr>
          <w:rFonts w:ascii="Arial" w:eastAsia="Times New Roman" w:hAnsi="Arial" w:cs="Arial"/>
          <w:sz w:val="24"/>
          <w:szCs w:val="24"/>
          <w:lang w:eastAsia="it-IT"/>
        </w:rPr>
        <w:t xml:space="preserve"> che il datore di lavoro non deve aver effettuato, nei </w:t>
      </w:r>
      <w:proofErr w:type="gramStart"/>
      <w:r w:rsidRPr="0082158E">
        <w:rPr>
          <w:rFonts w:ascii="Arial" w:eastAsia="Times New Roman" w:hAnsi="Arial" w:cs="Arial"/>
          <w:sz w:val="24"/>
          <w:szCs w:val="24"/>
          <w:lang w:eastAsia="it-IT"/>
        </w:rPr>
        <w:t>6</w:t>
      </w:r>
      <w:proofErr w:type="gramEnd"/>
      <w:r w:rsidRPr="0082158E">
        <w:rPr>
          <w:rFonts w:ascii="Arial" w:eastAsia="Times New Roman" w:hAnsi="Arial" w:cs="Arial"/>
          <w:sz w:val="24"/>
          <w:szCs w:val="24"/>
          <w:lang w:eastAsia="it-IT"/>
        </w:rPr>
        <w:t xml:space="preserve"> mesi precedenti l’assunzione incentivata, licenziamenti individuali per giustificato motivo oggettivo o licenziamenti collettivi nella medesima unità produttiva.</w:t>
      </w:r>
    </w:p>
    <w:p w14:paraId="6B4FBC47"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Nei 6 mesi successivi all’assunzione, il datore di lavoro non può procedere al licenziamento per giustificato motivo oggettivo del lavoratore assunto con l’incentivo o di altro lavoratore impiegato con la stessa qualifica nella medesima unità produttiva. In caso contrario, il beneficio viene revocato e le somme già fruite sono recuperate.</w:t>
      </w:r>
    </w:p>
    <w:p w14:paraId="6CF6D4F2" w14:textId="60E5A6D0"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 xml:space="preserve">Un ulteriore requisito essenziale riguarda l’incremento occupazionale netto. L’assunzione incentivata deve infatti determinare un aumento dell’occupazione rispetto alla media dei </w:t>
      </w:r>
      <w:r w:rsidRPr="0082158E">
        <w:rPr>
          <w:rFonts w:ascii="Arial" w:eastAsia="Times New Roman" w:hAnsi="Arial" w:cs="Arial"/>
          <w:sz w:val="24"/>
          <w:szCs w:val="24"/>
          <w:lang w:eastAsia="it-IT"/>
        </w:rPr>
        <w:lastRenderedPageBreak/>
        <w:t xml:space="preserve">lavoratori occupati nei 12 mesi precedenti, secondo il criterio delle Unità di Lavoro Annuo previsto dal Regolamento </w:t>
      </w:r>
      <w:r w:rsidR="00366E11">
        <w:rPr>
          <w:rFonts w:ascii="Arial" w:eastAsia="Times New Roman" w:hAnsi="Arial" w:cs="Arial"/>
          <w:sz w:val="24"/>
          <w:szCs w:val="24"/>
          <w:lang w:eastAsia="it-IT"/>
        </w:rPr>
        <w:t>(</w:t>
      </w:r>
      <w:r w:rsidRPr="0082158E">
        <w:rPr>
          <w:rFonts w:ascii="Arial" w:eastAsia="Times New Roman" w:hAnsi="Arial" w:cs="Arial"/>
          <w:sz w:val="24"/>
          <w:szCs w:val="24"/>
          <w:lang w:eastAsia="it-IT"/>
        </w:rPr>
        <w:t>UE</w:t>
      </w:r>
      <w:r w:rsidR="00366E11">
        <w:rPr>
          <w:rFonts w:ascii="Arial" w:eastAsia="Times New Roman" w:hAnsi="Arial" w:cs="Arial"/>
          <w:sz w:val="24"/>
          <w:szCs w:val="24"/>
          <w:lang w:eastAsia="it-IT"/>
        </w:rPr>
        <w:t>)</w:t>
      </w:r>
      <w:r w:rsidRPr="0082158E">
        <w:rPr>
          <w:rFonts w:ascii="Arial" w:eastAsia="Times New Roman" w:hAnsi="Arial" w:cs="Arial"/>
          <w:sz w:val="24"/>
          <w:szCs w:val="24"/>
          <w:lang w:eastAsia="it-IT"/>
        </w:rPr>
        <w:t xml:space="preserve"> n. 651/2014.</w:t>
      </w:r>
    </w:p>
    <w:p w14:paraId="54542A25"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Il requisito deve essere verificato mese per mese e l’eventuale perdita dell’incremento comporta la perdita del beneficio limitatamente al mese interessato.</w:t>
      </w:r>
    </w:p>
    <w:p w14:paraId="5B9EBE08" w14:textId="15E7C80D" w:rsidR="001A1EA1" w:rsidRPr="00B07CE5" w:rsidRDefault="001A1EA1" w:rsidP="00B07CE5">
      <w:pPr>
        <w:spacing w:before="100" w:beforeAutospacing="1" w:after="100" w:afterAutospacing="1"/>
        <w:ind w:left="0"/>
        <w:rPr>
          <w:rFonts w:ascii="Arial" w:eastAsia="Times New Roman" w:hAnsi="Arial" w:cs="Arial"/>
          <w:color w:val="0070C0"/>
          <w:sz w:val="24"/>
          <w:szCs w:val="24"/>
          <w:lang w:eastAsia="it-IT"/>
        </w:rPr>
      </w:pPr>
      <w:r w:rsidRPr="00B07CE5">
        <w:rPr>
          <w:rFonts w:ascii="Arial" w:eastAsia="Times New Roman" w:hAnsi="Arial" w:cs="Arial"/>
          <w:b/>
          <w:bCs/>
          <w:color w:val="0070C0"/>
          <w:sz w:val="24"/>
          <w:szCs w:val="24"/>
          <w:lang w:eastAsia="it-IT"/>
        </w:rPr>
        <w:t>Coordinamento con altri incentivi</w:t>
      </w:r>
      <w:r w:rsidR="00B07CE5">
        <w:rPr>
          <w:rFonts w:ascii="Arial" w:eastAsia="Times New Roman" w:hAnsi="Arial" w:cs="Arial"/>
          <w:color w:val="0070C0"/>
          <w:sz w:val="24"/>
          <w:szCs w:val="24"/>
          <w:lang w:eastAsia="it-IT"/>
        </w:rPr>
        <w:t xml:space="preserve">: </w:t>
      </w:r>
      <w:r w:rsidRPr="0082158E">
        <w:rPr>
          <w:rFonts w:ascii="Arial" w:eastAsia="Times New Roman" w:hAnsi="Arial" w:cs="Arial"/>
          <w:sz w:val="24"/>
          <w:szCs w:val="24"/>
          <w:lang w:eastAsia="it-IT"/>
        </w:rPr>
        <w:t xml:space="preserve">Il bonus ZES 2026 non è cumulabile con altri esoneri o riduzioni contributive riferite alla contribuzione datoriale, compresa la decontribuzione Sud e gli incentivi per l’assunzione di lavoratori disabili o percettori </w:t>
      </w:r>
      <w:proofErr w:type="spellStart"/>
      <w:r w:rsidRPr="0082158E">
        <w:rPr>
          <w:rFonts w:ascii="Arial" w:eastAsia="Times New Roman" w:hAnsi="Arial" w:cs="Arial"/>
          <w:sz w:val="24"/>
          <w:szCs w:val="24"/>
          <w:lang w:eastAsia="it-IT"/>
        </w:rPr>
        <w:t>NASpI</w:t>
      </w:r>
      <w:proofErr w:type="spellEnd"/>
      <w:r w:rsidRPr="0082158E">
        <w:rPr>
          <w:rFonts w:ascii="Arial" w:eastAsia="Times New Roman" w:hAnsi="Arial" w:cs="Arial"/>
          <w:sz w:val="24"/>
          <w:szCs w:val="24"/>
          <w:lang w:eastAsia="it-IT"/>
        </w:rPr>
        <w:t>.</w:t>
      </w:r>
    </w:p>
    <w:p w14:paraId="73ED2CF8"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L’agevolazione è invece compatibile con la maggiorazione del costo ammesso in deduzione prevista dalla Legge di Bilancio 2025 e con l’esonero collegato alla certificazione della parità di genere.</w:t>
      </w:r>
    </w:p>
    <w:p w14:paraId="5D950D92" w14:textId="17ED79EC" w:rsidR="001A1EA1" w:rsidRPr="00B07CE5" w:rsidRDefault="001A1EA1" w:rsidP="00B07CE5">
      <w:pPr>
        <w:spacing w:before="100" w:beforeAutospacing="1" w:after="100" w:afterAutospacing="1"/>
        <w:ind w:left="0"/>
        <w:rPr>
          <w:rFonts w:ascii="Arial" w:eastAsia="Times New Roman" w:hAnsi="Arial" w:cs="Arial"/>
          <w:color w:val="0070C0"/>
          <w:sz w:val="24"/>
          <w:szCs w:val="24"/>
          <w:lang w:eastAsia="it-IT"/>
        </w:rPr>
      </w:pPr>
      <w:r w:rsidRPr="00B07CE5">
        <w:rPr>
          <w:rFonts w:ascii="Arial" w:eastAsia="Times New Roman" w:hAnsi="Arial" w:cs="Arial"/>
          <w:b/>
          <w:bCs/>
          <w:color w:val="0070C0"/>
          <w:sz w:val="24"/>
          <w:szCs w:val="24"/>
          <w:lang w:eastAsia="it-IT"/>
        </w:rPr>
        <w:t>Domanda di accesso al beneficio</w:t>
      </w:r>
      <w:r w:rsidR="00B07CE5">
        <w:rPr>
          <w:rFonts w:ascii="Arial" w:eastAsia="Times New Roman" w:hAnsi="Arial" w:cs="Arial"/>
          <w:b/>
          <w:bCs/>
          <w:color w:val="0070C0"/>
          <w:sz w:val="24"/>
          <w:szCs w:val="24"/>
          <w:lang w:eastAsia="it-IT"/>
        </w:rPr>
        <w:t>:</w:t>
      </w:r>
      <w:r w:rsidR="00B07CE5">
        <w:rPr>
          <w:rFonts w:ascii="Arial" w:eastAsia="Times New Roman" w:hAnsi="Arial" w:cs="Arial"/>
          <w:color w:val="0070C0"/>
          <w:sz w:val="24"/>
          <w:szCs w:val="24"/>
          <w:lang w:eastAsia="it-IT"/>
        </w:rPr>
        <w:t xml:space="preserve"> </w:t>
      </w:r>
      <w:r w:rsidRPr="0082158E">
        <w:rPr>
          <w:rFonts w:ascii="Arial" w:eastAsia="Times New Roman" w:hAnsi="Arial" w:cs="Arial"/>
          <w:sz w:val="24"/>
          <w:szCs w:val="24"/>
          <w:lang w:eastAsia="it-IT"/>
        </w:rPr>
        <w:t>I datori di lavoro interessati devono presentare apposita domanda telematica all’INPS tramite il “Portale delle Agevolazioni – Bonus ZES 2026”.</w:t>
      </w:r>
    </w:p>
    <w:p w14:paraId="3A367860"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Nella domanda devono essere indicati i dati identificativi dell’impresa, del lavoratore assunto, la tipologia contrattuale, la retribuzione prevista e la sede di effettivo svolgimento della prestazione lavorativa.</w:t>
      </w:r>
    </w:p>
    <w:p w14:paraId="56B4C8A6"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L’Istituto procederà alla verifica della disponibilità delle risorse, dei requisiti previsti dalla normativa e delle condizioni connesse agli aiuti di Stato, comunicando successivamente l’esito della domanda.</w:t>
      </w:r>
    </w:p>
    <w:p w14:paraId="03F4750C" w14:textId="3EE41097" w:rsidR="00CA1D37" w:rsidRPr="00A12302" w:rsidRDefault="00B07CE5" w:rsidP="00A12302">
      <w:pPr>
        <w:pStyle w:val="Paragrafoelenco"/>
        <w:numPr>
          <w:ilvl w:val="0"/>
          <w:numId w:val="36"/>
        </w:numPr>
        <w:spacing w:before="100" w:beforeAutospacing="1" w:after="100" w:afterAutospacing="1"/>
        <w:jc w:val="left"/>
        <w:rPr>
          <w:rFonts w:ascii="Arial" w:eastAsia="Times New Roman" w:hAnsi="Arial" w:cs="Arial"/>
          <w:b/>
          <w:bCs/>
          <w:color w:val="0070C0"/>
          <w:sz w:val="24"/>
          <w:szCs w:val="24"/>
          <w:u w:val="single"/>
          <w:lang w:eastAsia="it-IT"/>
        </w:rPr>
      </w:pPr>
      <w:r w:rsidRPr="00A12302">
        <w:rPr>
          <w:rFonts w:ascii="Arial" w:eastAsia="Times New Roman" w:hAnsi="Arial" w:cs="Arial"/>
          <w:b/>
          <w:bCs/>
          <w:color w:val="0070C0"/>
          <w:sz w:val="24"/>
          <w:szCs w:val="24"/>
          <w:u w:val="single"/>
          <w:lang w:eastAsia="it-IT"/>
        </w:rPr>
        <w:t xml:space="preserve">BONUS GIOVANI 2026 – </w:t>
      </w:r>
      <w:r w:rsidR="00CA1D37" w:rsidRPr="00A12302">
        <w:rPr>
          <w:rFonts w:ascii="Arial" w:eastAsia="Times New Roman" w:hAnsi="Arial" w:cs="Arial"/>
          <w:b/>
          <w:bCs/>
          <w:color w:val="0070C0"/>
          <w:sz w:val="24"/>
          <w:szCs w:val="24"/>
          <w:u w:val="single"/>
          <w:lang w:eastAsia="it-IT"/>
        </w:rPr>
        <w:t>CHIARIMENTI INPS (circolare n. 5</w:t>
      </w:r>
      <w:r w:rsidR="00D267E4">
        <w:rPr>
          <w:rFonts w:ascii="Arial" w:eastAsia="Times New Roman" w:hAnsi="Arial" w:cs="Arial"/>
          <w:b/>
          <w:bCs/>
          <w:color w:val="0070C0"/>
          <w:sz w:val="24"/>
          <w:szCs w:val="24"/>
          <w:u w:val="single"/>
          <w:lang w:eastAsia="it-IT"/>
        </w:rPr>
        <w:t>5</w:t>
      </w:r>
      <w:r w:rsidR="00CA1D37" w:rsidRPr="00A12302">
        <w:rPr>
          <w:rFonts w:ascii="Arial" w:eastAsia="Times New Roman" w:hAnsi="Arial" w:cs="Arial"/>
          <w:b/>
          <w:bCs/>
          <w:color w:val="0070C0"/>
          <w:sz w:val="24"/>
          <w:szCs w:val="24"/>
          <w:u w:val="single"/>
          <w:lang w:eastAsia="it-IT"/>
        </w:rPr>
        <w:t>/2026)</w:t>
      </w:r>
    </w:p>
    <w:p w14:paraId="581B1329" w14:textId="543AEFC0" w:rsidR="001A1EA1" w:rsidRPr="0082158E" w:rsidRDefault="001A1EA1" w:rsidP="00CA1D37">
      <w:pPr>
        <w:spacing w:before="100" w:beforeAutospacing="1" w:after="100" w:afterAutospacing="1"/>
        <w:ind w:left="0"/>
        <w:jc w:val="left"/>
        <w:rPr>
          <w:rFonts w:ascii="Arial" w:eastAsia="Times New Roman" w:hAnsi="Arial" w:cs="Arial"/>
          <w:sz w:val="24"/>
          <w:szCs w:val="24"/>
          <w:lang w:eastAsia="it-IT"/>
        </w:rPr>
      </w:pPr>
      <w:r w:rsidRPr="0082158E">
        <w:rPr>
          <w:rFonts w:ascii="Arial" w:eastAsia="Times New Roman" w:hAnsi="Arial" w:cs="Arial"/>
          <w:sz w:val="24"/>
          <w:szCs w:val="24"/>
          <w:lang w:eastAsia="it-IT"/>
        </w:rPr>
        <w:t>L’INPS, con circolare n. 55 del 14 maggio 2026, ha fornito le prime indicazioni operative relative al bonus giovani 2026, previsto dall’articolo 2 del D.L. n. 62/2026.</w:t>
      </w:r>
    </w:p>
    <w:p w14:paraId="21BAEA88"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La misura, finalizzata a incrementare l’occupazione giovanile stabile, introduce un esonero dal versamento del 100% dei contributi previdenziali a carico dei datori di lavoro privati, per un periodo massimo di 24 mesi, in relazione alle assunzioni a tempo indeterminato di giovani effettuate dal 1° gennaio 2026 al 31 dicembre 2026.</w:t>
      </w:r>
    </w:p>
    <w:p w14:paraId="1AC426B2"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Restano esclusi dal beneficio i rapporti di lavoro domestico e i rapporti di apprendistato.</w:t>
      </w:r>
    </w:p>
    <w:p w14:paraId="7F56A53F" w14:textId="008B254F" w:rsidR="001A1EA1" w:rsidRPr="00B07CE5" w:rsidRDefault="001A1EA1" w:rsidP="00B07CE5">
      <w:pPr>
        <w:spacing w:before="100" w:beforeAutospacing="1" w:after="100" w:afterAutospacing="1"/>
        <w:ind w:left="0"/>
        <w:rPr>
          <w:rFonts w:ascii="Arial" w:eastAsia="Times New Roman" w:hAnsi="Arial" w:cs="Arial"/>
          <w:color w:val="0070C0"/>
          <w:sz w:val="24"/>
          <w:szCs w:val="24"/>
          <w:lang w:eastAsia="it-IT"/>
        </w:rPr>
      </w:pPr>
      <w:r w:rsidRPr="00B07CE5">
        <w:rPr>
          <w:rFonts w:ascii="Arial" w:eastAsia="Times New Roman" w:hAnsi="Arial" w:cs="Arial"/>
          <w:b/>
          <w:bCs/>
          <w:color w:val="0070C0"/>
          <w:sz w:val="24"/>
          <w:szCs w:val="24"/>
          <w:lang w:eastAsia="it-IT"/>
        </w:rPr>
        <w:t>Lavoratori interessati e misura dell’esonero</w:t>
      </w:r>
      <w:r w:rsidR="00B07CE5">
        <w:rPr>
          <w:rFonts w:ascii="Arial" w:eastAsia="Times New Roman" w:hAnsi="Arial" w:cs="Arial"/>
          <w:color w:val="0070C0"/>
          <w:sz w:val="24"/>
          <w:szCs w:val="24"/>
          <w:lang w:eastAsia="it-IT"/>
        </w:rPr>
        <w:t xml:space="preserve">: </w:t>
      </w:r>
      <w:r w:rsidRPr="0082158E">
        <w:rPr>
          <w:rFonts w:ascii="Arial" w:eastAsia="Times New Roman" w:hAnsi="Arial" w:cs="Arial"/>
          <w:sz w:val="24"/>
          <w:szCs w:val="24"/>
          <w:lang w:eastAsia="it-IT"/>
        </w:rPr>
        <w:t>Il beneficio spetta, per un periodo massimo di 24 mesi, a condizione che l’assunzione con contratto di lavoro subordinato a tempo indeterminato riguardi giovani che, alla data dell’assunzione, non abbiano compiuto 35 anni e siano privi di un impiego regolarmente retribuito da almeno 24 mesi.</w:t>
      </w:r>
    </w:p>
    <w:p w14:paraId="3A0E58CC" w14:textId="7D5380F9"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 xml:space="preserve">L’agevolazione è inoltre riconosciuta, sempre per un periodo massimo di 24 mesi, per l’assunzione a tempo indeterminato di giovani di età inferiore a 35 anni che, alla data dell’assunzione, siano privi da almeno 12 mesi di un impiego regolarmente retribuito e </w:t>
      </w:r>
      <w:r w:rsidRPr="0082158E">
        <w:rPr>
          <w:rFonts w:ascii="Arial" w:eastAsia="Times New Roman" w:hAnsi="Arial" w:cs="Arial"/>
          <w:sz w:val="24"/>
          <w:szCs w:val="24"/>
          <w:lang w:eastAsia="it-IT"/>
        </w:rPr>
        <w:lastRenderedPageBreak/>
        <w:t xml:space="preserve">appartengano a una delle categorie di lavoratori svantaggiati individuate dall’articolo 2, punto 4), lettere c), e), f) e g), del Regolamento </w:t>
      </w:r>
      <w:r w:rsidR="00366E11">
        <w:rPr>
          <w:rFonts w:ascii="Arial" w:eastAsia="Times New Roman" w:hAnsi="Arial" w:cs="Arial"/>
          <w:sz w:val="24"/>
          <w:szCs w:val="24"/>
          <w:lang w:eastAsia="it-IT"/>
        </w:rPr>
        <w:t>(</w:t>
      </w:r>
      <w:r w:rsidRPr="0082158E">
        <w:rPr>
          <w:rFonts w:ascii="Arial" w:eastAsia="Times New Roman" w:hAnsi="Arial" w:cs="Arial"/>
          <w:sz w:val="24"/>
          <w:szCs w:val="24"/>
          <w:lang w:eastAsia="it-IT"/>
        </w:rPr>
        <w:t>UE</w:t>
      </w:r>
      <w:r w:rsidR="00366E11">
        <w:rPr>
          <w:rFonts w:ascii="Arial" w:eastAsia="Times New Roman" w:hAnsi="Arial" w:cs="Arial"/>
          <w:sz w:val="24"/>
          <w:szCs w:val="24"/>
          <w:lang w:eastAsia="it-IT"/>
        </w:rPr>
        <w:t>)</w:t>
      </w:r>
      <w:r w:rsidRPr="0082158E">
        <w:rPr>
          <w:rFonts w:ascii="Arial" w:eastAsia="Times New Roman" w:hAnsi="Arial" w:cs="Arial"/>
          <w:sz w:val="24"/>
          <w:szCs w:val="24"/>
          <w:lang w:eastAsia="it-IT"/>
        </w:rPr>
        <w:t xml:space="preserve"> n. 651/2014.</w:t>
      </w:r>
    </w:p>
    <w:p w14:paraId="53716E23"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Rientrano in tali categorie, tra gli altri:</w:t>
      </w:r>
    </w:p>
    <w:p w14:paraId="419B215C" w14:textId="77777777" w:rsidR="001A1EA1" w:rsidRPr="0082158E" w:rsidRDefault="001A1EA1" w:rsidP="0082158E">
      <w:pPr>
        <w:numPr>
          <w:ilvl w:val="0"/>
          <w:numId w:val="24"/>
        </w:numPr>
        <w:spacing w:before="100" w:beforeAutospacing="1" w:after="100" w:afterAutospacing="1"/>
        <w:rPr>
          <w:rFonts w:ascii="Arial" w:eastAsia="Times New Roman" w:hAnsi="Arial" w:cs="Arial"/>
          <w:sz w:val="24"/>
          <w:szCs w:val="24"/>
          <w:lang w:eastAsia="it-IT"/>
        </w:rPr>
      </w:pPr>
      <w:r w:rsidRPr="0082158E">
        <w:rPr>
          <w:rFonts w:ascii="Arial" w:eastAsia="Times New Roman" w:hAnsi="Arial" w:cs="Arial"/>
          <w:sz w:val="24"/>
          <w:szCs w:val="24"/>
          <w:lang w:eastAsia="it-IT"/>
        </w:rPr>
        <w:t xml:space="preserve">coloro che non possiedono un diploma di scuola media superiore o professionale, oppure che abbiano completato la formazione a tempo pieno da non più di </w:t>
      </w:r>
      <w:proofErr w:type="gramStart"/>
      <w:r w:rsidRPr="0082158E">
        <w:rPr>
          <w:rFonts w:ascii="Arial" w:eastAsia="Times New Roman" w:hAnsi="Arial" w:cs="Arial"/>
          <w:sz w:val="24"/>
          <w:szCs w:val="24"/>
          <w:lang w:eastAsia="it-IT"/>
        </w:rPr>
        <w:t>2</w:t>
      </w:r>
      <w:proofErr w:type="gramEnd"/>
      <w:r w:rsidRPr="0082158E">
        <w:rPr>
          <w:rFonts w:ascii="Arial" w:eastAsia="Times New Roman" w:hAnsi="Arial" w:cs="Arial"/>
          <w:sz w:val="24"/>
          <w:szCs w:val="24"/>
          <w:lang w:eastAsia="it-IT"/>
        </w:rPr>
        <w:t xml:space="preserve"> anni e non abbiano ancora ottenuto il primo impiego regolarmente retribuito;</w:t>
      </w:r>
    </w:p>
    <w:p w14:paraId="775BAECB" w14:textId="77777777" w:rsidR="001A1EA1" w:rsidRPr="0082158E" w:rsidRDefault="001A1EA1" w:rsidP="0082158E">
      <w:pPr>
        <w:numPr>
          <w:ilvl w:val="0"/>
          <w:numId w:val="24"/>
        </w:numPr>
        <w:spacing w:before="100" w:beforeAutospacing="1" w:after="100" w:afterAutospacing="1"/>
        <w:rPr>
          <w:rFonts w:ascii="Arial" w:eastAsia="Times New Roman" w:hAnsi="Arial" w:cs="Arial"/>
          <w:sz w:val="24"/>
          <w:szCs w:val="24"/>
          <w:lang w:eastAsia="it-IT"/>
        </w:rPr>
      </w:pPr>
      <w:r w:rsidRPr="0082158E">
        <w:rPr>
          <w:rFonts w:ascii="Arial" w:eastAsia="Times New Roman" w:hAnsi="Arial" w:cs="Arial"/>
          <w:sz w:val="24"/>
          <w:szCs w:val="24"/>
          <w:lang w:eastAsia="it-IT"/>
        </w:rPr>
        <w:t>i soggetti adulti che vivono soli con una o più persone a carico;</w:t>
      </w:r>
    </w:p>
    <w:p w14:paraId="134DA2ED" w14:textId="77777777" w:rsidR="001A1EA1" w:rsidRPr="0082158E" w:rsidRDefault="001A1EA1" w:rsidP="0082158E">
      <w:pPr>
        <w:numPr>
          <w:ilvl w:val="0"/>
          <w:numId w:val="24"/>
        </w:numPr>
        <w:spacing w:before="100" w:beforeAutospacing="1" w:after="100" w:afterAutospacing="1"/>
        <w:rPr>
          <w:rFonts w:ascii="Arial" w:eastAsia="Times New Roman" w:hAnsi="Arial" w:cs="Arial"/>
          <w:sz w:val="24"/>
          <w:szCs w:val="24"/>
          <w:lang w:eastAsia="it-IT"/>
        </w:rPr>
      </w:pPr>
      <w:r w:rsidRPr="0082158E">
        <w:rPr>
          <w:rFonts w:ascii="Arial" w:eastAsia="Times New Roman" w:hAnsi="Arial" w:cs="Arial"/>
          <w:sz w:val="24"/>
          <w:szCs w:val="24"/>
          <w:lang w:eastAsia="it-IT"/>
        </w:rPr>
        <w:t>i lavoratori occupati in professioni o settori caratterizzati da un rilevante tasso di disparità uomo-donna, se appartenenti al genere sottorappresentato;</w:t>
      </w:r>
    </w:p>
    <w:p w14:paraId="24701745" w14:textId="77777777" w:rsidR="001A1EA1" w:rsidRPr="0082158E" w:rsidRDefault="001A1EA1" w:rsidP="0082158E">
      <w:pPr>
        <w:numPr>
          <w:ilvl w:val="0"/>
          <w:numId w:val="24"/>
        </w:numPr>
        <w:spacing w:before="100" w:beforeAutospacing="1" w:after="100" w:afterAutospacing="1"/>
        <w:rPr>
          <w:rFonts w:ascii="Arial" w:eastAsia="Times New Roman" w:hAnsi="Arial" w:cs="Arial"/>
          <w:sz w:val="24"/>
          <w:szCs w:val="24"/>
          <w:lang w:eastAsia="it-IT"/>
        </w:rPr>
      </w:pPr>
      <w:r w:rsidRPr="0082158E">
        <w:rPr>
          <w:rFonts w:ascii="Arial" w:eastAsia="Times New Roman" w:hAnsi="Arial" w:cs="Arial"/>
          <w:sz w:val="24"/>
          <w:szCs w:val="24"/>
          <w:lang w:eastAsia="it-IT"/>
        </w:rPr>
        <w:t>gli appartenenti a una minoranza etnica di uno Stato membro che abbiano necessità di migliorare la propria formazione linguistica, professionale o la propria esperienza lavorativa per aumentare le prospettive di accesso a un’occupazione stabile.</w:t>
      </w:r>
    </w:p>
    <w:p w14:paraId="7B397C3E"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Al fine di sostenere lo sviluppo occupazionale della ZES unica per il Mezzogiorno, il beneficio è riconosciuto anche in favore dei datori di lavoro privati che, nel periodo compreso tra il 1° gennaio 2026 e il 31 dicembre 2026, assumono a tempo indeterminato lavoratori presso una sede o unità produttiva ubicata nelle Regioni Abruzzo, Molise, Campania, Basilicata, Sicilia, Puglia, Calabria, Sardegna, Marche e Umbria.</w:t>
      </w:r>
    </w:p>
    <w:p w14:paraId="67604FFB"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Il beneficio è pari al 100% dei complessivi contributi previdenziali a carico dei datori di lavoro privati, con esclusione dei premi INAIL, nel limite massimo di 500 euro mensili per ciascun lavoratore, nei limiti di spesa autorizzata e ferma restando l’aliquota di computo delle prestazioni pensionistiche.</w:t>
      </w:r>
    </w:p>
    <w:p w14:paraId="74E93AF4"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La misura dell’esonero è elevata a 650 euro mensili nel caso in cui il giovane lavoratore svantaggiato o molto svantaggiato sia assunto presso una sede o unità produttiva ubicata nelle Regioni della ZES unica.</w:t>
      </w:r>
    </w:p>
    <w:p w14:paraId="32879CA0"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Gli esoneri contributivi sono riconosciuti in favore di tutti i datori di lavoro privati, indipendentemente dalla natura imprenditoriale o meno del soggetto datoriale, compresi i datori di lavoro del settore agricolo.</w:t>
      </w:r>
    </w:p>
    <w:p w14:paraId="1BE08B8C" w14:textId="444BBB27" w:rsidR="001A1EA1" w:rsidRPr="00B07CE5" w:rsidRDefault="001A1EA1" w:rsidP="00B07CE5">
      <w:pPr>
        <w:spacing w:before="100" w:beforeAutospacing="1" w:after="100" w:afterAutospacing="1"/>
        <w:ind w:left="0"/>
        <w:jc w:val="left"/>
        <w:rPr>
          <w:rFonts w:ascii="Arial" w:eastAsia="Times New Roman" w:hAnsi="Arial" w:cs="Arial"/>
          <w:color w:val="0070C0"/>
          <w:sz w:val="24"/>
          <w:szCs w:val="24"/>
          <w:lang w:eastAsia="it-IT"/>
        </w:rPr>
      </w:pPr>
      <w:r w:rsidRPr="00B07CE5">
        <w:rPr>
          <w:rFonts w:ascii="Arial" w:eastAsia="Times New Roman" w:hAnsi="Arial" w:cs="Arial"/>
          <w:b/>
          <w:bCs/>
          <w:color w:val="0070C0"/>
          <w:sz w:val="24"/>
          <w:szCs w:val="24"/>
          <w:lang w:eastAsia="it-IT"/>
        </w:rPr>
        <w:t>Condizioni di spettanza</w:t>
      </w:r>
      <w:r w:rsidR="00B07CE5">
        <w:rPr>
          <w:rFonts w:ascii="Arial" w:eastAsia="Times New Roman" w:hAnsi="Arial" w:cs="Arial"/>
          <w:color w:val="0070C0"/>
          <w:sz w:val="24"/>
          <w:szCs w:val="24"/>
          <w:lang w:eastAsia="it-IT"/>
        </w:rPr>
        <w:t xml:space="preserve">: </w:t>
      </w:r>
      <w:r w:rsidRPr="0082158E">
        <w:rPr>
          <w:rFonts w:ascii="Arial" w:eastAsia="Times New Roman" w:hAnsi="Arial" w:cs="Arial"/>
          <w:sz w:val="24"/>
          <w:szCs w:val="24"/>
          <w:lang w:eastAsia="it-IT"/>
        </w:rPr>
        <w:t xml:space="preserve">Il diritto alla fruizione degli esoneri è subordinato al rispetto dei principi generali in materia di incentivi all’assunzione previsti dall’articolo 31 del </w:t>
      </w:r>
      <w:proofErr w:type="spellStart"/>
      <w:r w:rsidRPr="0082158E">
        <w:rPr>
          <w:rFonts w:ascii="Arial" w:eastAsia="Times New Roman" w:hAnsi="Arial" w:cs="Arial"/>
          <w:sz w:val="24"/>
          <w:szCs w:val="24"/>
          <w:lang w:eastAsia="it-IT"/>
        </w:rPr>
        <w:t>D.Lgs.</w:t>
      </w:r>
      <w:proofErr w:type="spellEnd"/>
      <w:r w:rsidRPr="0082158E">
        <w:rPr>
          <w:rFonts w:ascii="Arial" w:eastAsia="Times New Roman" w:hAnsi="Arial" w:cs="Arial"/>
          <w:sz w:val="24"/>
          <w:szCs w:val="24"/>
          <w:lang w:eastAsia="it-IT"/>
        </w:rPr>
        <w:t xml:space="preserve"> n. 150/2015.</w:t>
      </w:r>
    </w:p>
    <w:p w14:paraId="105628FE"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È inoltre necessario il rispetto delle condizioni di cui all’articolo 1, comma 1175, della Legge n. 296/2006, e in particolare:</w:t>
      </w:r>
    </w:p>
    <w:p w14:paraId="546F556A" w14:textId="77777777" w:rsidR="001A1EA1" w:rsidRPr="0082158E" w:rsidRDefault="001A1EA1" w:rsidP="0082158E">
      <w:pPr>
        <w:numPr>
          <w:ilvl w:val="0"/>
          <w:numId w:val="25"/>
        </w:numPr>
        <w:spacing w:before="100" w:beforeAutospacing="1" w:after="100" w:afterAutospacing="1"/>
        <w:rPr>
          <w:rFonts w:ascii="Arial" w:eastAsia="Times New Roman" w:hAnsi="Arial" w:cs="Arial"/>
          <w:sz w:val="24"/>
          <w:szCs w:val="24"/>
          <w:lang w:eastAsia="it-IT"/>
        </w:rPr>
      </w:pPr>
      <w:r w:rsidRPr="0082158E">
        <w:rPr>
          <w:rFonts w:ascii="Arial" w:eastAsia="Times New Roman" w:hAnsi="Arial" w:cs="Arial"/>
          <w:sz w:val="24"/>
          <w:szCs w:val="24"/>
          <w:lang w:eastAsia="it-IT"/>
        </w:rPr>
        <w:t>regolarità degli obblighi di contribuzione previdenziale, ai sensi della normativa in materia di DURC;</w:t>
      </w:r>
    </w:p>
    <w:p w14:paraId="4E2CA5BD" w14:textId="77777777" w:rsidR="001A1EA1" w:rsidRPr="0082158E" w:rsidRDefault="001A1EA1" w:rsidP="0082158E">
      <w:pPr>
        <w:numPr>
          <w:ilvl w:val="0"/>
          <w:numId w:val="25"/>
        </w:numPr>
        <w:spacing w:before="100" w:beforeAutospacing="1" w:after="100" w:afterAutospacing="1"/>
        <w:rPr>
          <w:rFonts w:ascii="Arial" w:eastAsia="Times New Roman" w:hAnsi="Arial" w:cs="Arial"/>
          <w:sz w:val="24"/>
          <w:szCs w:val="24"/>
          <w:lang w:eastAsia="it-IT"/>
        </w:rPr>
      </w:pPr>
      <w:r w:rsidRPr="0082158E">
        <w:rPr>
          <w:rFonts w:ascii="Arial" w:eastAsia="Times New Roman" w:hAnsi="Arial" w:cs="Arial"/>
          <w:sz w:val="24"/>
          <w:szCs w:val="24"/>
          <w:lang w:eastAsia="it-IT"/>
        </w:rPr>
        <w:lastRenderedPageBreak/>
        <w:t>assenza di violazioni in materia di lavoro e legislazione sociale, comprese quelle relative alla tutela delle condizioni di lavoro e alla salute e sicurezza nei luoghi di lavoro;</w:t>
      </w:r>
    </w:p>
    <w:p w14:paraId="21DF2286" w14:textId="77777777" w:rsidR="001A1EA1" w:rsidRPr="0082158E" w:rsidRDefault="001A1EA1" w:rsidP="0082158E">
      <w:pPr>
        <w:numPr>
          <w:ilvl w:val="0"/>
          <w:numId w:val="25"/>
        </w:numPr>
        <w:spacing w:before="100" w:beforeAutospacing="1" w:after="100" w:afterAutospacing="1"/>
        <w:rPr>
          <w:rFonts w:ascii="Arial" w:eastAsia="Times New Roman" w:hAnsi="Arial" w:cs="Arial"/>
          <w:sz w:val="24"/>
          <w:szCs w:val="24"/>
          <w:lang w:eastAsia="it-IT"/>
        </w:rPr>
      </w:pPr>
      <w:r w:rsidRPr="0082158E">
        <w:rPr>
          <w:rFonts w:ascii="Arial" w:eastAsia="Times New Roman" w:hAnsi="Arial" w:cs="Arial"/>
          <w:sz w:val="24"/>
          <w:szCs w:val="24"/>
          <w:lang w:eastAsia="it-IT"/>
        </w:rPr>
        <w:t>rispetto degli accordi e contratti collettivi nazionali, regionali, territoriali o aziendali sottoscritti dalle organizzazioni sindacali dei datori di lavoro e dei lavoratori comparativamente più rappresentative sul piano nazionale.</w:t>
      </w:r>
    </w:p>
    <w:p w14:paraId="083C2083" w14:textId="77777777" w:rsidR="001A1EA1" w:rsidRPr="0082158E" w:rsidRDefault="001A1EA1" w:rsidP="001A1EA1">
      <w:pPr>
        <w:spacing w:before="100" w:beforeAutospacing="1" w:after="100" w:afterAutospacing="1"/>
        <w:ind w:left="0"/>
        <w:jc w:val="left"/>
        <w:rPr>
          <w:rFonts w:ascii="Arial" w:eastAsia="Times New Roman" w:hAnsi="Arial" w:cs="Arial"/>
          <w:sz w:val="24"/>
          <w:szCs w:val="24"/>
          <w:lang w:eastAsia="it-IT"/>
        </w:rPr>
      </w:pPr>
      <w:r w:rsidRPr="0082158E">
        <w:rPr>
          <w:rFonts w:ascii="Arial" w:eastAsia="Times New Roman" w:hAnsi="Arial" w:cs="Arial"/>
          <w:sz w:val="24"/>
          <w:szCs w:val="24"/>
          <w:lang w:eastAsia="it-IT"/>
        </w:rPr>
        <w:t>La legittima fruizione dell’esonero è inoltre subordinata alla sussistenza delle seguenti condizioni:</w:t>
      </w:r>
    </w:p>
    <w:p w14:paraId="05B7ED0D" w14:textId="77777777" w:rsidR="001A1EA1" w:rsidRPr="0082158E" w:rsidRDefault="001A1EA1" w:rsidP="0082158E">
      <w:pPr>
        <w:numPr>
          <w:ilvl w:val="0"/>
          <w:numId w:val="26"/>
        </w:numPr>
        <w:spacing w:before="100" w:beforeAutospacing="1" w:after="100" w:afterAutospacing="1"/>
        <w:rPr>
          <w:rFonts w:ascii="Arial" w:eastAsia="Times New Roman" w:hAnsi="Arial" w:cs="Arial"/>
          <w:sz w:val="24"/>
          <w:szCs w:val="24"/>
          <w:lang w:eastAsia="it-IT"/>
        </w:rPr>
      </w:pPr>
      <w:r w:rsidRPr="0082158E">
        <w:rPr>
          <w:rFonts w:ascii="Arial" w:eastAsia="Times New Roman" w:hAnsi="Arial" w:cs="Arial"/>
          <w:sz w:val="24"/>
          <w:szCs w:val="24"/>
          <w:lang w:eastAsia="it-IT"/>
        </w:rPr>
        <w:t>il lavoratore, alla data dell’assunzione agevolata, non deve aver compiuto 35 anni, intendendosi per tale limite 34 anni e 364 giorni;</w:t>
      </w:r>
    </w:p>
    <w:p w14:paraId="7C0DCCAF" w14:textId="77777777" w:rsidR="001A1EA1" w:rsidRPr="0082158E" w:rsidRDefault="001A1EA1" w:rsidP="0082158E">
      <w:pPr>
        <w:numPr>
          <w:ilvl w:val="0"/>
          <w:numId w:val="26"/>
        </w:numPr>
        <w:spacing w:before="100" w:beforeAutospacing="1" w:after="100" w:afterAutospacing="1"/>
        <w:rPr>
          <w:rFonts w:ascii="Arial" w:eastAsia="Times New Roman" w:hAnsi="Arial" w:cs="Arial"/>
          <w:sz w:val="24"/>
          <w:szCs w:val="24"/>
          <w:lang w:eastAsia="it-IT"/>
        </w:rPr>
      </w:pPr>
      <w:r w:rsidRPr="0082158E">
        <w:rPr>
          <w:rFonts w:ascii="Arial" w:eastAsia="Times New Roman" w:hAnsi="Arial" w:cs="Arial"/>
          <w:sz w:val="24"/>
          <w:szCs w:val="24"/>
          <w:lang w:eastAsia="it-IT"/>
        </w:rPr>
        <w:t xml:space="preserve">il datore di lavoro non deve aver effettuato, nei </w:t>
      </w:r>
      <w:proofErr w:type="gramStart"/>
      <w:r w:rsidRPr="0082158E">
        <w:rPr>
          <w:rFonts w:ascii="Arial" w:eastAsia="Times New Roman" w:hAnsi="Arial" w:cs="Arial"/>
          <w:sz w:val="24"/>
          <w:szCs w:val="24"/>
          <w:lang w:eastAsia="it-IT"/>
        </w:rPr>
        <w:t>6</w:t>
      </w:r>
      <w:proofErr w:type="gramEnd"/>
      <w:r w:rsidRPr="0082158E">
        <w:rPr>
          <w:rFonts w:ascii="Arial" w:eastAsia="Times New Roman" w:hAnsi="Arial" w:cs="Arial"/>
          <w:sz w:val="24"/>
          <w:szCs w:val="24"/>
          <w:lang w:eastAsia="it-IT"/>
        </w:rPr>
        <w:t xml:space="preserve"> mesi precedenti l’assunzione, licenziamenti individuali per giustificato motivo oggettivo o licenziamenti collettivi nella stessa unità produttiva;</w:t>
      </w:r>
    </w:p>
    <w:p w14:paraId="387241EC" w14:textId="77777777" w:rsidR="001A1EA1" w:rsidRPr="0082158E" w:rsidRDefault="001A1EA1" w:rsidP="0082158E">
      <w:pPr>
        <w:numPr>
          <w:ilvl w:val="0"/>
          <w:numId w:val="26"/>
        </w:numPr>
        <w:spacing w:before="100" w:beforeAutospacing="1" w:after="100" w:afterAutospacing="1"/>
        <w:rPr>
          <w:rFonts w:ascii="Arial" w:eastAsia="Times New Roman" w:hAnsi="Arial" w:cs="Arial"/>
          <w:sz w:val="24"/>
          <w:szCs w:val="24"/>
          <w:lang w:eastAsia="it-IT"/>
        </w:rPr>
      </w:pPr>
      <w:r w:rsidRPr="0082158E">
        <w:rPr>
          <w:rFonts w:ascii="Arial" w:eastAsia="Times New Roman" w:hAnsi="Arial" w:cs="Arial"/>
          <w:sz w:val="24"/>
          <w:szCs w:val="24"/>
          <w:lang w:eastAsia="it-IT"/>
        </w:rPr>
        <w:t xml:space="preserve">il datore di lavoro non deve procedere, nei </w:t>
      </w:r>
      <w:proofErr w:type="gramStart"/>
      <w:r w:rsidRPr="0082158E">
        <w:rPr>
          <w:rFonts w:ascii="Arial" w:eastAsia="Times New Roman" w:hAnsi="Arial" w:cs="Arial"/>
          <w:sz w:val="24"/>
          <w:szCs w:val="24"/>
          <w:lang w:eastAsia="it-IT"/>
        </w:rPr>
        <w:t>6</w:t>
      </w:r>
      <w:proofErr w:type="gramEnd"/>
      <w:r w:rsidRPr="0082158E">
        <w:rPr>
          <w:rFonts w:ascii="Arial" w:eastAsia="Times New Roman" w:hAnsi="Arial" w:cs="Arial"/>
          <w:sz w:val="24"/>
          <w:szCs w:val="24"/>
          <w:lang w:eastAsia="it-IT"/>
        </w:rPr>
        <w:t xml:space="preserve"> mesi successivi all’assunzione, al licenziamento per giustificato motivo oggettivo del lavoratore assunto con l’esonero o di un lavoratore impiegato con la stessa qualifica nella medesima unità produttiva;</w:t>
      </w:r>
    </w:p>
    <w:p w14:paraId="1257C764" w14:textId="77777777" w:rsidR="001A1EA1" w:rsidRPr="0082158E" w:rsidRDefault="001A1EA1" w:rsidP="0082158E">
      <w:pPr>
        <w:numPr>
          <w:ilvl w:val="0"/>
          <w:numId w:val="26"/>
        </w:numPr>
        <w:spacing w:before="100" w:beforeAutospacing="1" w:after="100" w:afterAutospacing="1"/>
        <w:rPr>
          <w:rFonts w:ascii="Arial" w:eastAsia="Times New Roman" w:hAnsi="Arial" w:cs="Arial"/>
          <w:sz w:val="24"/>
          <w:szCs w:val="24"/>
          <w:lang w:eastAsia="it-IT"/>
        </w:rPr>
      </w:pPr>
      <w:r w:rsidRPr="0082158E">
        <w:rPr>
          <w:rFonts w:ascii="Arial" w:eastAsia="Times New Roman" w:hAnsi="Arial" w:cs="Arial"/>
          <w:sz w:val="24"/>
          <w:szCs w:val="24"/>
          <w:lang w:eastAsia="it-IT"/>
        </w:rPr>
        <w:t>l’assunzione dei soggetti svantaggiati o molto svantaggiati deve determinare un incremento occupazionale netto rispetto alla media dei lavoratori occupati nei 12 mesi precedenti;</w:t>
      </w:r>
    </w:p>
    <w:p w14:paraId="4C88F3D6" w14:textId="77777777" w:rsidR="001A1EA1" w:rsidRPr="0082158E" w:rsidRDefault="001A1EA1" w:rsidP="0082158E">
      <w:pPr>
        <w:numPr>
          <w:ilvl w:val="0"/>
          <w:numId w:val="26"/>
        </w:numPr>
        <w:spacing w:before="100" w:beforeAutospacing="1" w:after="100" w:afterAutospacing="1"/>
        <w:rPr>
          <w:rFonts w:ascii="Arial" w:eastAsia="Times New Roman" w:hAnsi="Arial" w:cs="Arial"/>
          <w:sz w:val="24"/>
          <w:szCs w:val="24"/>
          <w:lang w:eastAsia="it-IT"/>
        </w:rPr>
      </w:pPr>
      <w:r w:rsidRPr="0082158E">
        <w:rPr>
          <w:rFonts w:ascii="Arial" w:eastAsia="Times New Roman" w:hAnsi="Arial" w:cs="Arial"/>
          <w:sz w:val="24"/>
          <w:szCs w:val="24"/>
          <w:lang w:eastAsia="it-IT"/>
        </w:rPr>
        <w:t>al lavoratore deve essere applicato un trattamento economico individuale non inferiore al trattamento economico complessivo previsto dai CCNL stipulati dalle organizzazioni dei datori di lavoro e dei lavoratori comparativamente più rappresentative sul piano nazionale, avuto riguardo al settore e alla categoria produttiva di riferimento, nonché all’attività principale o prevalente esercitata, alla dimensione e alla natura giuridica del datore di lavoro.</w:t>
      </w:r>
    </w:p>
    <w:p w14:paraId="24A916C9" w14:textId="774621D4" w:rsidR="001A1EA1" w:rsidRPr="006C0C23" w:rsidRDefault="001A1EA1" w:rsidP="006C0C23">
      <w:pPr>
        <w:spacing w:before="100" w:beforeAutospacing="1" w:after="100" w:afterAutospacing="1"/>
        <w:ind w:left="0"/>
        <w:rPr>
          <w:rFonts w:ascii="Arial" w:eastAsia="Times New Roman" w:hAnsi="Arial" w:cs="Arial"/>
          <w:color w:val="0070C0"/>
          <w:sz w:val="24"/>
          <w:szCs w:val="24"/>
          <w:lang w:eastAsia="it-IT"/>
        </w:rPr>
      </w:pPr>
      <w:r w:rsidRPr="006C0C23">
        <w:rPr>
          <w:rFonts w:ascii="Arial" w:eastAsia="Times New Roman" w:hAnsi="Arial" w:cs="Arial"/>
          <w:b/>
          <w:bCs/>
          <w:color w:val="0070C0"/>
          <w:sz w:val="24"/>
          <w:szCs w:val="24"/>
          <w:lang w:eastAsia="it-IT"/>
        </w:rPr>
        <w:t>Domanda di ammissione</w:t>
      </w:r>
      <w:r w:rsidR="006C0C23">
        <w:rPr>
          <w:rFonts w:ascii="Arial" w:eastAsia="Times New Roman" w:hAnsi="Arial" w:cs="Arial"/>
          <w:b/>
          <w:bCs/>
          <w:color w:val="0070C0"/>
          <w:sz w:val="24"/>
          <w:szCs w:val="24"/>
          <w:lang w:eastAsia="it-IT"/>
        </w:rPr>
        <w:t>:</w:t>
      </w:r>
      <w:r w:rsidR="006C0C23">
        <w:rPr>
          <w:rFonts w:ascii="Arial" w:eastAsia="Times New Roman" w:hAnsi="Arial" w:cs="Arial"/>
          <w:color w:val="0070C0"/>
          <w:sz w:val="24"/>
          <w:szCs w:val="24"/>
          <w:lang w:eastAsia="it-IT"/>
        </w:rPr>
        <w:t xml:space="preserve"> </w:t>
      </w:r>
      <w:r w:rsidRPr="0082158E">
        <w:rPr>
          <w:rFonts w:ascii="Arial" w:eastAsia="Times New Roman" w:hAnsi="Arial" w:cs="Arial"/>
          <w:sz w:val="24"/>
          <w:szCs w:val="24"/>
          <w:lang w:eastAsia="it-IT"/>
        </w:rPr>
        <w:t xml:space="preserve">Ai fini operativi, il datore di lavoro interessato deve presentare all’INPS la domanda di ammissione all’agevolazione esclusivamente tramite il modulo di istanza online, appositamente aggiornato e reperibile sul sito istituzionale dell’Istituto, nella sezione “Portale delle Agevolazioni (ex </w:t>
      </w:r>
      <w:proofErr w:type="spellStart"/>
      <w:r w:rsidRPr="0082158E">
        <w:rPr>
          <w:rFonts w:ascii="Arial" w:eastAsia="Times New Roman" w:hAnsi="Arial" w:cs="Arial"/>
          <w:sz w:val="24"/>
          <w:szCs w:val="24"/>
          <w:lang w:eastAsia="it-IT"/>
        </w:rPr>
        <w:t>DiResCo</w:t>
      </w:r>
      <w:proofErr w:type="spellEnd"/>
      <w:r w:rsidRPr="0082158E">
        <w:rPr>
          <w:rFonts w:ascii="Arial" w:eastAsia="Times New Roman" w:hAnsi="Arial" w:cs="Arial"/>
          <w:sz w:val="24"/>
          <w:szCs w:val="24"/>
          <w:lang w:eastAsia="it-IT"/>
        </w:rPr>
        <w:t>) – Bonus giovani 2026”.</w:t>
      </w:r>
    </w:p>
    <w:p w14:paraId="05DBEEC5"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L’INPS comunicherà con apposito messaggio la disponibilità del modello.</w:t>
      </w:r>
    </w:p>
    <w:p w14:paraId="6163B58F" w14:textId="77777777" w:rsidR="001A1EA1" w:rsidRPr="0082158E" w:rsidRDefault="001A1EA1" w:rsidP="0082158E">
      <w:pPr>
        <w:spacing w:before="100" w:beforeAutospacing="1" w:after="100" w:afterAutospacing="1"/>
        <w:ind w:left="0"/>
        <w:rPr>
          <w:rFonts w:ascii="Arial" w:eastAsia="Times New Roman" w:hAnsi="Arial" w:cs="Arial"/>
          <w:sz w:val="24"/>
          <w:szCs w:val="24"/>
          <w:lang w:eastAsia="it-IT"/>
        </w:rPr>
      </w:pPr>
      <w:r w:rsidRPr="0082158E">
        <w:rPr>
          <w:rFonts w:ascii="Arial" w:eastAsia="Times New Roman" w:hAnsi="Arial" w:cs="Arial"/>
          <w:sz w:val="24"/>
          <w:szCs w:val="24"/>
          <w:lang w:eastAsia="it-IT"/>
        </w:rPr>
        <w:t>Una volta ricevuta la domanda telematica, sia per rapporti di lavoro in corso sia per rapporti non ancora instaurati, l’Istituto provvederà, tramite i propri sistemi informativi centrali, a:</w:t>
      </w:r>
    </w:p>
    <w:p w14:paraId="49391F6B" w14:textId="77777777" w:rsidR="001A1EA1" w:rsidRPr="0082158E" w:rsidRDefault="001A1EA1" w:rsidP="0082158E">
      <w:pPr>
        <w:numPr>
          <w:ilvl w:val="0"/>
          <w:numId w:val="27"/>
        </w:numPr>
        <w:spacing w:before="100" w:beforeAutospacing="1" w:after="100" w:afterAutospacing="1"/>
        <w:rPr>
          <w:rFonts w:ascii="Arial" w:eastAsia="Times New Roman" w:hAnsi="Arial" w:cs="Arial"/>
          <w:sz w:val="24"/>
          <w:szCs w:val="24"/>
          <w:lang w:eastAsia="it-IT"/>
        </w:rPr>
      </w:pPr>
      <w:r w:rsidRPr="0082158E">
        <w:rPr>
          <w:rFonts w:ascii="Arial" w:eastAsia="Times New Roman" w:hAnsi="Arial" w:cs="Arial"/>
          <w:sz w:val="24"/>
          <w:szCs w:val="24"/>
          <w:lang w:eastAsia="it-IT"/>
        </w:rPr>
        <w:t>calcolare l’ammontare del beneficio spettante sulla base dei contributi previdenziali a carico del datore di lavoro dichiarati nella richiesta;</w:t>
      </w:r>
    </w:p>
    <w:p w14:paraId="61D7242D" w14:textId="2EDAA788" w:rsidR="007458D2" w:rsidRDefault="001A1EA1" w:rsidP="007458D2">
      <w:pPr>
        <w:numPr>
          <w:ilvl w:val="0"/>
          <w:numId w:val="27"/>
        </w:numPr>
        <w:spacing w:before="100" w:beforeAutospacing="1" w:after="100" w:afterAutospacing="1"/>
        <w:rPr>
          <w:rFonts w:ascii="Arial" w:eastAsia="Times New Roman" w:hAnsi="Arial" w:cs="Arial"/>
          <w:sz w:val="24"/>
          <w:szCs w:val="24"/>
          <w:lang w:eastAsia="it-IT"/>
        </w:rPr>
      </w:pPr>
      <w:r w:rsidRPr="0082158E">
        <w:rPr>
          <w:rFonts w:ascii="Arial" w:eastAsia="Times New Roman" w:hAnsi="Arial" w:cs="Arial"/>
          <w:sz w:val="24"/>
          <w:szCs w:val="24"/>
          <w:lang w:eastAsia="it-IT"/>
        </w:rPr>
        <w:t>consultare il Registro Nazionale degli aiuti di Stato, al fine di verificare la sussistenza delle condizioni per il riconoscimento dell’agevolazione, anche con riferimento alla cosiddetta clausola Deggendorf;</w:t>
      </w:r>
    </w:p>
    <w:p w14:paraId="06E08076" w14:textId="1BC887A2" w:rsidR="001A1EA1" w:rsidRPr="00A12302" w:rsidRDefault="001A1EA1" w:rsidP="00A12302">
      <w:pPr>
        <w:numPr>
          <w:ilvl w:val="0"/>
          <w:numId w:val="27"/>
        </w:numPr>
        <w:spacing w:before="100" w:beforeAutospacing="1" w:after="100" w:afterAutospacing="1"/>
        <w:rPr>
          <w:rFonts w:ascii="Arial" w:eastAsia="Times New Roman" w:hAnsi="Arial" w:cs="Arial"/>
          <w:sz w:val="24"/>
          <w:szCs w:val="24"/>
          <w:lang w:eastAsia="it-IT"/>
        </w:rPr>
      </w:pPr>
      <w:r w:rsidRPr="007458D2">
        <w:rPr>
          <w:rFonts w:ascii="Arial" w:eastAsia="Times New Roman" w:hAnsi="Arial" w:cs="Arial"/>
          <w:sz w:val="24"/>
          <w:szCs w:val="24"/>
          <w:lang w:eastAsia="it-IT"/>
        </w:rPr>
        <w:t>fornire, in presenza di sufficiente capienza di risorse e in caso di esito positivo dei controlli, riscontro in merito all’accoglimento della domanda</w:t>
      </w:r>
      <w:r w:rsidR="007458D2" w:rsidRPr="007458D2">
        <w:rPr>
          <w:rFonts w:ascii="Arial" w:eastAsia="Times New Roman" w:hAnsi="Arial" w:cs="Arial"/>
          <w:sz w:val="24"/>
          <w:szCs w:val="24"/>
          <w:lang w:eastAsia="it-IT"/>
        </w:rPr>
        <w:t xml:space="preserve"> e procedere alla </w:t>
      </w:r>
      <w:r w:rsidR="007458D2" w:rsidRPr="00B07CE5">
        <w:rPr>
          <w:rFonts w:ascii="Arial" w:eastAsia="Times New Roman" w:hAnsi="Arial" w:cs="Arial"/>
          <w:sz w:val="24"/>
          <w:szCs w:val="24"/>
          <w:lang w:eastAsia="it-IT"/>
        </w:rPr>
        <w:t>registrazione dell’agevolazione sul Registro Nazionale degli aiuti di Stato.</w:t>
      </w:r>
    </w:p>
    <w:p w14:paraId="6D7F7394" w14:textId="77777777" w:rsidR="00A12302" w:rsidRDefault="00A12302" w:rsidP="00A12302">
      <w:pPr>
        <w:spacing w:before="100" w:beforeAutospacing="1" w:after="100" w:afterAutospacing="1"/>
        <w:ind w:left="0"/>
        <w:rPr>
          <w:rFonts w:ascii="Arial" w:eastAsia="Times New Roman" w:hAnsi="Arial" w:cs="Arial"/>
          <w:sz w:val="24"/>
          <w:szCs w:val="24"/>
          <w:lang w:eastAsia="it-IT"/>
        </w:rPr>
      </w:pPr>
      <w:r>
        <w:rPr>
          <w:rFonts w:ascii="Arial" w:eastAsia="Times New Roman" w:hAnsi="Arial" w:cs="Arial"/>
          <w:sz w:val="24"/>
          <w:szCs w:val="24"/>
          <w:lang w:eastAsia="it-IT"/>
        </w:rPr>
        <w:lastRenderedPageBreak/>
        <w:t xml:space="preserve">Lo studio rimane a disposizione per eventuali ulteriori chiarimenti. </w:t>
      </w:r>
    </w:p>
    <w:p w14:paraId="4D81E5FB" w14:textId="77777777" w:rsidR="00A12302" w:rsidRDefault="00A12302" w:rsidP="00A12302">
      <w:pPr>
        <w:spacing w:before="100" w:beforeAutospacing="1" w:after="100" w:afterAutospacing="1"/>
        <w:ind w:left="0"/>
        <w:rPr>
          <w:rFonts w:ascii="Arial" w:eastAsia="Times New Roman" w:hAnsi="Arial" w:cs="Arial"/>
          <w:sz w:val="24"/>
          <w:szCs w:val="24"/>
          <w:lang w:eastAsia="it-IT"/>
        </w:rPr>
      </w:pPr>
      <w:r>
        <w:rPr>
          <w:rFonts w:ascii="Arial" w:eastAsia="Times New Roman" w:hAnsi="Arial" w:cs="Arial"/>
          <w:sz w:val="24"/>
          <w:szCs w:val="24"/>
          <w:lang w:eastAsia="it-IT"/>
        </w:rPr>
        <w:t>Distinti saluti.</w:t>
      </w:r>
    </w:p>
    <w:p w14:paraId="4F5AC178" w14:textId="5EB35E3C" w:rsidR="00A92404" w:rsidRPr="009C55EA" w:rsidRDefault="00A12302" w:rsidP="009C55EA">
      <w:pPr>
        <w:spacing w:before="100" w:beforeAutospacing="1" w:after="100" w:afterAutospacing="1"/>
        <w:ind w:left="0"/>
        <w:rPr>
          <w:rFonts w:ascii="Arial" w:eastAsia="Times New Roman" w:hAnsi="Arial" w:cs="Arial"/>
          <w:b/>
          <w:bCs/>
          <w:color w:val="0070C0"/>
          <w:sz w:val="24"/>
          <w:szCs w:val="24"/>
          <w:lang w:eastAsia="it-IT"/>
        </w:rPr>
      </w:pPr>
      <w:r>
        <w:rPr>
          <w:rFonts w:ascii="Arial" w:eastAsia="Times New Roman" w:hAnsi="Arial" w:cs="Arial"/>
          <w:b/>
          <w:bCs/>
          <w:color w:val="0070C0"/>
          <w:sz w:val="24"/>
          <w:szCs w:val="24"/>
          <w:lang w:eastAsia="it-IT"/>
        </w:rPr>
        <w:t>Studio Dafe STP S.r.l.</w:t>
      </w:r>
      <w:bookmarkEnd w:id="0"/>
    </w:p>
    <w:sectPr w:rsidR="00A92404" w:rsidRPr="009C55EA" w:rsidSect="00640192">
      <w:headerReference w:type="default" r:id="rId11"/>
      <w:footerReference w:type="default" r:id="rId12"/>
      <w:pgSz w:w="11900" w:h="16840"/>
      <w:pgMar w:top="1985" w:right="1134" w:bottom="2127" w:left="1134" w:header="424" w:footer="233"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12210" w14:textId="77777777" w:rsidR="00EC5F7C" w:rsidRDefault="00EC5F7C" w:rsidP="003C3067">
      <w:r>
        <w:separator/>
      </w:r>
    </w:p>
  </w:endnote>
  <w:endnote w:type="continuationSeparator" w:id="0">
    <w:p w14:paraId="64CC3EB9" w14:textId="77777777" w:rsidR="00EC5F7C" w:rsidRDefault="00EC5F7C" w:rsidP="003C3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T Sans">
    <w:charset w:val="00"/>
    <w:family w:val="swiss"/>
    <w:pitch w:val="variable"/>
    <w:sig w:usb0="A00002EF" w:usb1="5000204B" w:usb2="00000000" w:usb3="00000000" w:csb0="000000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Times">
    <w:panose1 w:val="02020603050405020304"/>
    <w:charset w:val="00"/>
    <w:family w:val="roman"/>
    <w:pitch w:val="variable"/>
    <w:sig w:usb0="00000003" w:usb1="00000000" w:usb2="00000000" w:usb3="00000000" w:csb0="00000001" w:csb1="00000000"/>
  </w:font>
  <w:font w:name="Calibri-Bold">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InfoTextOT-Italic">
    <w:panose1 w:val="00000000000000000000"/>
    <w:charset w:val="00"/>
    <w:family w:val="swiss"/>
    <w:notTrueType/>
    <w:pitch w:val="variable"/>
    <w:sig w:usb0="800000EF" w:usb1="4000207B" w:usb2="00000008" w:usb3="00000000" w:csb0="00000001" w:csb1="00000000"/>
  </w:font>
  <w:font w:name="Rockwell">
    <w:panose1 w:val="02060603020205020403"/>
    <w:charset w:val="00"/>
    <w:family w:val="roman"/>
    <w:pitch w:val="variable"/>
    <w:sig w:usb0="00000007" w:usb1="00000000" w:usb2="00000000" w:usb3="00000000" w:csb0="00000003" w:csb1="00000000"/>
  </w:font>
  <w:font w:name="Aharoni">
    <w:charset w:val="B1"/>
    <w:family w:val="auto"/>
    <w:pitch w:val="variable"/>
    <w:sig w:usb0="00000803" w:usb1="00000000" w:usb2="00000000" w:usb3="00000000" w:csb0="0000002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398E" w14:textId="3FE0992F" w:rsidR="003C3067" w:rsidRDefault="00E802A3" w:rsidP="001F0405">
    <w:pPr>
      <w:pStyle w:val="Pidipagina"/>
      <w:ind w:left="-851" w:hanging="142"/>
    </w:pPr>
    <w:r>
      <w:rPr>
        <w:noProof/>
      </w:rPr>
      <w:drawing>
        <wp:anchor distT="0" distB="0" distL="114300" distR="114300" simplePos="0" relativeHeight="251658242" behindDoc="0" locked="0" layoutInCell="1" allowOverlap="1" wp14:anchorId="4056D899" wp14:editId="2BEB7FC9">
          <wp:simplePos x="0" y="0"/>
          <wp:positionH relativeFrom="column">
            <wp:posOffset>-709138</wp:posOffset>
          </wp:positionH>
          <wp:positionV relativeFrom="paragraph">
            <wp:posOffset>-522964</wp:posOffset>
          </wp:positionV>
          <wp:extent cx="7555441" cy="824230"/>
          <wp:effectExtent l="0" t="0" r="7620" b="0"/>
          <wp:wrapNone/>
          <wp:docPr id="2140690703" name="Immagine 2140690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2265" name="Immagine 180492265"/>
                  <pic:cNvPicPr/>
                </pic:nvPicPr>
                <pic:blipFill>
                  <a:blip r:embed="rId1"/>
                  <a:stretch>
                    <a:fillRect/>
                  </a:stretch>
                </pic:blipFill>
                <pic:spPr>
                  <a:xfrm>
                    <a:off x="0" y="0"/>
                    <a:ext cx="7555441" cy="824230"/>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2D00E" w14:textId="77777777" w:rsidR="00EC5F7C" w:rsidRDefault="00EC5F7C" w:rsidP="003C3067">
      <w:r>
        <w:separator/>
      </w:r>
    </w:p>
  </w:footnote>
  <w:footnote w:type="continuationSeparator" w:id="0">
    <w:p w14:paraId="2B32DB78" w14:textId="77777777" w:rsidR="00EC5F7C" w:rsidRDefault="00EC5F7C" w:rsidP="003C3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3C49C" w14:textId="26617D83" w:rsidR="003C3067" w:rsidRDefault="00A725FF" w:rsidP="001F0405">
    <w:pPr>
      <w:pStyle w:val="Intestazione"/>
      <w:tabs>
        <w:tab w:val="clear" w:pos="4819"/>
        <w:tab w:val="clear" w:pos="9638"/>
        <w:tab w:val="center" w:pos="5570"/>
      </w:tabs>
      <w:ind w:left="-993" w:right="-709"/>
    </w:pPr>
    <w:r>
      <w:rPr>
        <w:noProof/>
      </w:rPr>
      <w:drawing>
        <wp:anchor distT="0" distB="0" distL="114300" distR="114300" simplePos="0" relativeHeight="251658241" behindDoc="1" locked="0" layoutInCell="1" allowOverlap="1" wp14:anchorId="7660574A" wp14:editId="247CBC14">
          <wp:simplePos x="0" y="0"/>
          <wp:positionH relativeFrom="column">
            <wp:posOffset>-751895</wp:posOffset>
          </wp:positionH>
          <wp:positionV relativeFrom="paragraph">
            <wp:posOffset>-237435</wp:posOffset>
          </wp:positionV>
          <wp:extent cx="12177913" cy="1071880"/>
          <wp:effectExtent l="0" t="0" r="0" b="0"/>
          <wp:wrapNone/>
          <wp:docPr id="569027258" name="Immagine 569027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750910" name="Immagine 1115750910"/>
                  <pic:cNvPicPr/>
                </pic:nvPicPr>
                <pic:blipFill>
                  <a:blip r:embed="rId1"/>
                  <a:stretch>
                    <a:fillRect/>
                  </a:stretch>
                </pic:blipFill>
                <pic:spPr>
                  <a:xfrm>
                    <a:off x="0" y="0"/>
                    <a:ext cx="12177913" cy="1071880"/>
                  </a:xfrm>
                  <a:prstGeom prst="rect">
                    <a:avLst/>
                  </a:prstGeom>
                </pic:spPr>
              </pic:pic>
            </a:graphicData>
          </a:graphic>
          <wp14:sizeRelH relativeFrom="page">
            <wp14:pctWidth>0</wp14:pctWidth>
          </wp14:sizeRelH>
          <wp14:sizeRelV relativeFrom="page">
            <wp14:pctHeight>0</wp14:pctHeight>
          </wp14:sizeRelV>
        </wp:anchor>
      </w:drawing>
    </w:r>
    <w:r w:rsidR="001F0405">
      <w:rPr>
        <w:noProof/>
      </w:rPr>
      <mc:AlternateContent>
        <mc:Choice Requires="wps">
          <w:drawing>
            <wp:anchor distT="0" distB="0" distL="114300" distR="114300" simplePos="0" relativeHeight="251658240" behindDoc="0" locked="1" layoutInCell="1" allowOverlap="1" wp14:anchorId="2A185EB4" wp14:editId="1A48F030">
              <wp:simplePos x="0" y="0"/>
              <wp:positionH relativeFrom="column">
                <wp:posOffset>561975</wp:posOffset>
              </wp:positionH>
              <wp:positionV relativeFrom="paragraph">
                <wp:posOffset>16510</wp:posOffset>
              </wp:positionV>
              <wp:extent cx="4810125" cy="543560"/>
              <wp:effectExtent l="0" t="0" r="0" b="0"/>
              <wp:wrapNone/>
              <wp:docPr id="6" name="Casella di testo 6"/>
              <wp:cNvGraphicFramePr/>
              <a:graphic xmlns:a="http://schemas.openxmlformats.org/drawingml/2006/main">
                <a:graphicData uri="http://schemas.microsoft.com/office/word/2010/wordprocessingShape">
                  <wps:wsp>
                    <wps:cNvSpPr txBox="1"/>
                    <wps:spPr>
                      <a:xfrm>
                        <a:off x="0" y="0"/>
                        <a:ext cx="4810125" cy="543560"/>
                      </a:xfrm>
                      <a:prstGeom prst="rect">
                        <a:avLst/>
                      </a:prstGeom>
                      <a:noFill/>
                      <a:ln w="6350">
                        <a:noFill/>
                      </a:ln>
                    </wps:spPr>
                    <wps:txbx>
                      <w:txbxContent>
                        <w:p w14:paraId="0E084260" w14:textId="61225806" w:rsidR="001F0405" w:rsidRPr="005B753E" w:rsidRDefault="00640192" w:rsidP="000E2C9D">
                          <w:pPr>
                            <w:ind w:left="0"/>
                            <w:jc w:val="center"/>
                            <w:rPr>
                              <w:rFonts w:ascii="Rockwell" w:hAnsi="Rockwell" w:cs="Aharoni"/>
                              <w:color w:val="1F497D"/>
                              <w:sz w:val="32"/>
                              <w:szCs w:val="32"/>
                            </w:rPr>
                          </w:pPr>
                          <w:r>
                            <w:rPr>
                              <w:rFonts w:ascii="Rockwell" w:hAnsi="Rockwell" w:cs="Aharoni"/>
                              <w:color w:val="1F497D"/>
                              <w:sz w:val="32"/>
                              <w:szCs w:val="32"/>
                            </w:rPr>
                            <w:t>Circolare</w:t>
                          </w:r>
                          <w:r w:rsidR="001F0405" w:rsidRPr="005B753E">
                            <w:rPr>
                              <w:rFonts w:ascii="Rockwell" w:hAnsi="Rockwell" w:cs="Aharoni"/>
                              <w:color w:val="1F497D"/>
                              <w:sz w:val="32"/>
                              <w:szCs w:val="32"/>
                            </w:rPr>
                            <w:t xml:space="preserve"> n. </w:t>
                          </w:r>
                          <w:r w:rsidR="00D91F2D">
                            <w:rPr>
                              <w:rFonts w:ascii="Rockwell" w:hAnsi="Rockwell" w:cs="Aharoni"/>
                              <w:color w:val="1F497D"/>
                              <w:sz w:val="32"/>
                              <w:szCs w:val="32"/>
                            </w:rPr>
                            <w:t>0</w:t>
                          </w:r>
                          <w:r w:rsidR="0068368C">
                            <w:rPr>
                              <w:rFonts w:ascii="Rockwell" w:hAnsi="Rockwell" w:cs="Aharoni"/>
                              <w:color w:val="1F497D"/>
                              <w:sz w:val="32"/>
                              <w:szCs w:val="32"/>
                            </w:rPr>
                            <w:t>5</w:t>
                          </w:r>
                          <w:r w:rsidR="0070698B">
                            <w:rPr>
                              <w:rFonts w:ascii="Rockwell" w:hAnsi="Rockwell" w:cs="Aharoni"/>
                              <w:color w:val="1F497D"/>
                              <w:sz w:val="32"/>
                              <w:szCs w:val="32"/>
                            </w:rPr>
                            <w:t xml:space="preserve"> </w:t>
                          </w:r>
                          <w:r w:rsidR="00FA11BF" w:rsidRPr="005B753E">
                            <w:rPr>
                              <w:rFonts w:ascii="Rockwell" w:hAnsi="Rockwell" w:cs="Aharoni"/>
                              <w:color w:val="1F497D"/>
                              <w:sz w:val="32"/>
                              <w:szCs w:val="32"/>
                            </w:rPr>
                            <w:t xml:space="preserve">del </w:t>
                          </w:r>
                          <w:r w:rsidR="0068368C">
                            <w:rPr>
                              <w:rFonts w:ascii="Rockwell" w:hAnsi="Rockwell" w:cs="Aharoni"/>
                              <w:color w:val="1F497D"/>
                              <w:sz w:val="32"/>
                              <w:szCs w:val="32"/>
                            </w:rPr>
                            <w:t>01 giugno</w:t>
                          </w:r>
                          <w:r w:rsidR="00BB63F8">
                            <w:rPr>
                              <w:rFonts w:ascii="Rockwell" w:hAnsi="Rockwell" w:cs="Aharoni"/>
                              <w:color w:val="1F497D"/>
                              <w:sz w:val="32"/>
                              <w:szCs w:val="32"/>
                            </w:rPr>
                            <w:t xml:space="preserve"> </w:t>
                          </w:r>
                          <w:r w:rsidR="00D91F2D">
                            <w:rPr>
                              <w:rFonts w:ascii="Rockwell" w:hAnsi="Rockwell" w:cs="Aharoni"/>
                              <w:color w:val="1F497D"/>
                              <w:sz w:val="32"/>
                              <w:szCs w:val="32"/>
                            </w:rPr>
                            <w:t>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185EB4" id="_x0000_t202" coordsize="21600,21600" o:spt="202" path="m,l,21600r21600,l21600,xe">
              <v:stroke joinstyle="miter"/>
              <v:path gradientshapeok="t" o:connecttype="rect"/>
            </v:shapetype>
            <v:shape id="Casella di testo 6" o:spid="_x0000_s1026" type="#_x0000_t202" style="position:absolute;left:0;text-align:left;margin-left:44.25pt;margin-top:1.3pt;width:378.75pt;height:42.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" filled="f" stroked="f" strokeweight=".5pt">
              <v:textbox>
                <w:txbxContent>
                  <w:p w14:paraId="0E084260" w14:textId="61225806" w:rsidR="001F0405" w:rsidRPr="005B753E" w:rsidRDefault="00640192" w:rsidP="000E2C9D">
                    <w:pPr>
                      <w:ind w:left="0"/>
                      <w:jc w:val="center"/>
                      <w:rPr>
                        <w:rFonts w:ascii="Rockwell" w:hAnsi="Rockwell" w:cs="Aharoni"/>
                        <w:color w:val="1F497D"/>
                        <w:sz w:val="32"/>
                        <w:szCs w:val="32"/>
                      </w:rPr>
                    </w:pPr>
                    <w:r>
                      <w:rPr>
                        <w:rFonts w:ascii="Rockwell" w:hAnsi="Rockwell" w:cs="Aharoni"/>
                        <w:color w:val="1F497D"/>
                        <w:sz w:val="32"/>
                        <w:szCs w:val="32"/>
                      </w:rPr>
                      <w:t>Circolare</w:t>
                    </w:r>
                    <w:r w:rsidR="001F0405" w:rsidRPr="005B753E">
                      <w:rPr>
                        <w:rFonts w:ascii="Rockwell" w:hAnsi="Rockwell" w:cs="Aharoni"/>
                        <w:color w:val="1F497D"/>
                        <w:sz w:val="32"/>
                        <w:szCs w:val="32"/>
                      </w:rPr>
                      <w:t xml:space="preserve"> n. </w:t>
                    </w:r>
                    <w:r w:rsidR="00D91F2D">
                      <w:rPr>
                        <w:rFonts w:ascii="Rockwell" w:hAnsi="Rockwell" w:cs="Aharoni"/>
                        <w:color w:val="1F497D"/>
                        <w:sz w:val="32"/>
                        <w:szCs w:val="32"/>
                      </w:rPr>
                      <w:t>0</w:t>
                    </w:r>
                    <w:r w:rsidR="0068368C">
                      <w:rPr>
                        <w:rFonts w:ascii="Rockwell" w:hAnsi="Rockwell" w:cs="Aharoni"/>
                        <w:color w:val="1F497D"/>
                        <w:sz w:val="32"/>
                        <w:szCs w:val="32"/>
                      </w:rPr>
                      <w:t>5</w:t>
                    </w:r>
                    <w:r w:rsidR="0070698B">
                      <w:rPr>
                        <w:rFonts w:ascii="Rockwell" w:hAnsi="Rockwell" w:cs="Aharoni"/>
                        <w:color w:val="1F497D"/>
                        <w:sz w:val="32"/>
                        <w:szCs w:val="32"/>
                      </w:rPr>
                      <w:t xml:space="preserve"> </w:t>
                    </w:r>
                    <w:r w:rsidR="00FA11BF" w:rsidRPr="005B753E">
                      <w:rPr>
                        <w:rFonts w:ascii="Rockwell" w:hAnsi="Rockwell" w:cs="Aharoni"/>
                        <w:color w:val="1F497D"/>
                        <w:sz w:val="32"/>
                        <w:szCs w:val="32"/>
                      </w:rPr>
                      <w:t xml:space="preserve">del </w:t>
                    </w:r>
                    <w:r w:rsidR="0068368C">
                      <w:rPr>
                        <w:rFonts w:ascii="Rockwell" w:hAnsi="Rockwell" w:cs="Aharoni"/>
                        <w:color w:val="1F497D"/>
                        <w:sz w:val="32"/>
                        <w:szCs w:val="32"/>
                      </w:rPr>
                      <w:t>01 giugno</w:t>
                    </w:r>
                    <w:r w:rsidR="00BB63F8">
                      <w:rPr>
                        <w:rFonts w:ascii="Rockwell" w:hAnsi="Rockwell" w:cs="Aharoni"/>
                        <w:color w:val="1F497D"/>
                        <w:sz w:val="32"/>
                        <w:szCs w:val="32"/>
                      </w:rPr>
                      <w:t xml:space="preserve"> </w:t>
                    </w:r>
                    <w:r w:rsidR="00D91F2D">
                      <w:rPr>
                        <w:rFonts w:ascii="Rockwell" w:hAnsi="Rockwell" w:cs="Aharoni"/>
                        <w:color w:val="1F497D"/>
                        <w:sz w:val="32"/>
                        <w:szCs w:val="32"/>
                      </w:rPr>
                      <w:t>2026</w:t>
                    </w:r>
                  </w:p>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7C22"/>
    <w:multiLevelType w:val="hybridMultilevel"/>
    <w:tmpl w:val="5B820542"/>
    <w:lvl w:ilvl="0" w:tplc="2398DEDE">
      <w:start w:val="1"/>
      <w:numFmt w:val="lowerLetter"/>
      <w:pStyle w:val="puntielencoletterea"/>
      <w:lvlText w:val="%1)"/>
      <w:lvlJc w:val="left"/>
      <w:pPr>
        <w:ind w:left="720" w:hanging="360"/>
      </w:pPr>
      <w:rPr>
        <w:rFonts w:ascii="PT Sans" w:hAnsi="PT San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A6A24D3"/>
    <w:multiLevelType w:val="hybridMultilevel"/>
    <w:tmpl w:val="07F8103C"/>
    <w:lvl w:ilvl="0" w:tplc="A2229F7C">
      <w:start w:val="1"/>
      <w:numFmt w:val="decimal"/>
      <w:pStyle w:val="puntielenconumeri"/>
      <w:lvlText w:val="%1."/>
      <w:lvlJc w:val="left"/>
      <w:pPr>
        <w:ind w:left="360" w:hanging="360"/>
      </w:pPr>
      <w:rPr>
        <w:rFonts w:ascii="PT Sans" w:hAnsi="PT San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0B950292"/>
    <w:multiLevelType w:val="hybridMultilevel"/>
    <w:tmpl w:val="DC7E88FA"/>
    <w:lvl w:ilvl="0" w:tplc="BC36FA2C">
      <w:start w:val="1"/>
      <w:numFmt w:val="bullet"/>
      <w:lvlText w:val=""/>
      <w:lvlJc w:val="left"/>
      <w:pPr>
        <w:tabs>
          <w:tab w:val="num" w:pos="227"/>
        </w:tabs>
        <w:ind w:left="227" w:hanging="227"/>
      </w:pPr>
      <w:rPr>
        <w:rFonts w:ascii="Symbol" w:hAnsi="Symbol" w:hint="default"/>
        <w:color w:val="006FB5"/>
        <w:sz w:val="20"/>
        <w:szCs w:val="20"/>
      </w:rPr>
    </w:lvl>
    <w:lvl w:ilvl="1" w:tplc="5BC29026">
      <w:start w:val="1"/>
      <w:numFmt w:val="bullet"/>
      <w:pStyle w:val="sottopuntielenco-"/>
      <w:lvlText w:val="-"/>
      <w:lvlJc w:val="left"/>
      <w:pPr>
        <w:tabs>
          <w:tab w:val="num" w:pos="454"/>
        </w:tabs>
        <w:ind w:left="454" w:hanging="227"/>
      </w:pPr>
      <w:rPr>
        <w:rFonts w:ascii="Times New Roman" w:hAnsi="Times New Roman" w:cs="Times New Roman" w:hint="default"/>
        <w:color w:val="auto"/>
        <w:sz w:val="20"/>
        <w:szCs w:val="20"/>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C6245C"/>
    <w:multiLevelType w:val="multilevel"/>
    <w:tmpl w:val="3728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907F69"/>
    <w:multiLevelType w:val="hybridMultilevel"/>
    <w:tmpl w:val="71AA12E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3920490"/>
    <w:multiLevelType w:val="hybridMultilevel"/>
    <w:tmpl w:val="5E0A04BE"/>
    <w:lvl w:ilvl="0" w:tplc="DF3240C8">
      <w:start w:val="1"/>
      <w:numFmt w:val="bullet"/>
      <w:pStyle w:val="testotabellapallino"/>
      <w:lvlText w:val="-"/>
      <w:lvlJc w:val="left"/>
      <w:pPr>
        <w:ind w:left="720" w:hanging="360"/>
      </w:pPr>
      <w:rPr>
        <w:rFonts w:ascii="PT Sans" w:hAnsi="PT San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5D83A41"/>
    <w:multiLevelType w:val="multilevel"/>
    <w:tmpl w:val="14EE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6711B5"/>
    <w:multiLevelType w:val="multilevel"/>
    <w:tmpl w:val="EEA02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F522B7"/>
    <w:multiLevelType w:val="hybridMultilevel"/>
    <w:tmpl w:val="4218E98C"/>
    <w:lvl w:ilvl="0" w:tplc="D5A47170">
      <w:start w:val="1"/>
      <w:numFmt w:val="bullet"/>
      <w:pStyle w:val="sottoparagrafo"/>
      <w:suff w:val="space"/>
      <w:lvlText w:val=""/>
      <w:lvlJc w:val="left"/>
      <w:pPr>
        <w:ind w:left="0" w:firstLine="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6BE0BB4"/>
    <w:multiLevelType w:val="multilevel"/>
    <w:tmpl w:val="69463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CB781A"/>
    <w:multiLevelType w:val="hybridMultilevel"/>
    <w:tmpl w:val="B332385A"/>
    <w:lvl w:ilvl="0" w:tplc="B602EBF0">
      <w:start w:val="1"/>
      <w:numFmt w:val="bullet"/>
      <w:pStyle w:val="puntoelencotabellapallino"/>
      <w:lvlText w:val=""/>
      <w:lvlJc w:val="left"/>
      <w:pPr>
        <w:tabs>
          <w:tab w:val="num" w:pos="454"/>
        </w:tabs>
        <w:ind w:left="454" w:hanging="227"/>
      </w:pPr>
      <w:rPr>
        <w:rFonts w:ascii="Symbol" w:hAnsi="Symbol" w:hint="default"/>
        <w:b w:val="0"/>
        <w:i w:val="0"/>
        <w:color w:val="006FB5"/>
        <w:sz w:val="22"/>
        <w:szCs w:val="22"/>
      </w:rPr>
    </w:lvl>
    <w:lvl w:ilvl="1" w:tplc="81BC676A">
      <w:start w:val="1"/>
      <w:numFmt w:val="bullet"/>
      <w:lvlText w:val=""/>
      <w:lvlJc w:val="left"/>
      <w:pPr>
        <w:tabs>
          <w:tab w:val="num" w:pos="227"/>
        </w:tabs>
        <w:ind w:left="227" w:hanging="227"/>
      </w:pPr>
      <w:rPr>
        <w:rFonts w:ascii="Symbol" w:hAnsi="Symbol" w:hint="default"/>
        <w:b w:val="0"/>
        <w:i w:val="0"/>
        <w:color w:val="006FB5"/>
        <w:sz w:val="18"/>
        <w:szCs w:val="18"/>
      </w:rPr>
    </w:lvl>
    <w:lvl w:ilvl="2" w:tplc="99C250F4">
      <w:numFmt w:val="bullet"/>
      <w:lvlText w:val="-"/>
      <w:lvlJc w:val="left"/>
      <w:pPr>
        <w:tabs>
          <w:tab w:val="num" w:pos="2340"/>
        </w:tabs>
        <w:ind w:left="2340" w:hanging="360"/>
      </w:pPr>
      <w:rPr>
        <w:rFonts w:ascii="Arial" w:eastAsia="ヒラギノ角ゴ Pro W3" w:hAnsi="Arial" w:cs="Arial"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DB70485"/>
    <w:multiLevelType w:val="hybridMultilevel"/>
    <w:tmpl w:val="5EA4411C"/>
    <w:lvl w:ilvl="0" w:tplc="3A1EE3C2">
      <w:start w:val="1"/>
      <w:numFmt w:val="bullet"/>
      <w:pStyle w:val="testopuntoelenco"/>
      <w:lvlText w:val=""/>
      <w:lvlJc w:val="left"/>
      <w:pPr>
        <w:tabs>
          <w:tab w:val="num" w:pos="227"/>
        </w:tabs>
        <w:ind w:left="227" w:hanging="227"/>
      </w:pPr>
      <w:rPr>
        <w:rFonts w:ascii="Symbol" w:hAnsi="Symbol" w:hint="default"/>
        <w:strike w:val="0"/>
        <w:color w:val="auto"/>
        <w:sz w:val="20"/>
        <w:szCs w:val="20"/>
      </w:rPr>
    </w:lvl>
    <w:lvl w:ilvl="1" w:tplc="1442A836">
      <w:start w:val="2"/>
      <w:numFmt w:val="bullet"/>
      <w:lvlText w:val="-"/>
      <w:lvlJc w:val="left"/>
      <w:pPr>
        <w:tabs>
          <w:tab w:val="num" w:pos="1440"/>
        </w:tabs>
        <w:ind w:left="1440" w:hanging="360"/>
      </w:pPr>
      <w:rPr>
        <w:rFonts w:ascii="Arial" w:eastAsia="Times New Roman" w:hAnsi="Arial"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E693027"/>
    <w:multiLevelType w:val="hybridMultilevel"/>
    <w:tmpl w:val="CB26006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0421D12"/>
    <w:multiLevelType w:val="multilevel"/>
    <w:tmpl w:val="FEE6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7072EF"/>
    <w:multiLevelType w:val="multilevel"/>
    <w:tmpl w:val="24C2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4D6E28"/>
    <w:multiLevelType w:val="hybridMultilevel"/>
    <w:tmpl w:val="9FF02850"/>
    <w:lvl w:ilvl="0" w:tplc="1CB6BE2E">
      <w:start w:val="1"/>
      <w:numFmt w:val="upp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6" w15:restartNumberingAfterBreak="0">
    <w:nsid w:val="3EF91E39"/>
    <w:multiLevelType w:val="multilevel"/>
    <w:tmpl w:val="0CFEC924"/>
    <w:lvl w:ilvl="0">
      <w:start w:val="1"/>
      <w:numFmt w:val="upperLetter"/>
      <w:lvlText w:val="%1."/>
      <w:lvlJc w:val="left"/>
      <w:pPr>
        <w:ind w:left="360" w:hanging="360"/>
      </w:pPr>
    </w:lvl>
    <w:lvl w:ilvl="1">
      <w:start w:val="1"/>
      <w:numFmt w:val="bullet"/>
      <w:lvlText w:val=""/>
      <w:lvlJc w:val="left"/>
      <w:pPr>
        <w:ind w:left="720" w:hanging="360"/>
      </w:pPr>
      <w:rPr>
        <w:rFonts w:ascii="Wingdings" w:hAnsi="Wingdings" w:hint="default"/>
        <w:color w:val="0070C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08201C0"/>
    <w:multiLevelType w:val="multilevel"/>
    <w:tmpl w:val="ADCAD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F5465F"/>
    <w:multiLevelType w:val="multilevel"/>
    <w:tmpl w:val="EBAE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CF7AD5"/>
    <w:multiLevelType w:val="multilevel"/>
    <w:tmpl w:val="1D5829E2"/>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1B200C"/>
    <w:multiLevelType w:val="hybridMultilevel"/>
    <w:tmpl w:val="4F282A86"/>
    <w:lvl w:ilvl="0" w:tplc="99C250F4">
      <w:numFmt w:val="bullet"/>
      <w:pStyle w:val="puntielencotabella"/>
      <w:lvlText w:val="-"/>
      <w:lvlJc w:val="left"/>
      <w:pPr>
        <w:tabs>
          <w:tab w:val="num" w:pos="454"/>
        </w:tabs>
        <w:ind w:left="454" w:hanging="227"/>
      </w:pPr>
      <w:rPr>
        <w:rFonts w:ascii="Arial" w:eastAsia="ヒラギノ角ゴ Pro W3" w:hAnsi="Arial" w:cs="Arial" w:hint="default"/>
        <w:b w:val="0"/>
        <w:i w:val="0"/>
        <w:color w:val="006FB5"/>
        <w:sz w:val="22"/>
        <w:szCs w:val="22"/>
      </w:rPr>
    </w:lvl>
    <w:lvl w:ilvl="1" w:tplc="81BC676A">
      <w:start w:val="1"/>
      <w:numFmt w:val="bullet"/>
      <w:lvlText w:val=""/>
      <w:lvlJc w:val="left"/>
      <w:pPr>
        <w:tabs>
          <w:tab w:val="num" w:pos="227"/>
        </w:tabs>
        <w:ind w:left="227" w:hanging="227"/>
      </w:pPr>
      <w:rPr>
        <w:rFonts w:ascii="Symbol" w:hAnsi="Symbol" w:hint="default"/>
        <w:b w:val="0"/>
        <w:i w:val="0"/>
        <w:color w:val="006FB5"/>
        <w:sz w:val="18"/>
        <w:szCs w:val="18"/>
      </w:rPr>
    </w:lvl>
    <w:lvl w:ilvl="2" w:tplc="99C250F4">
      <w:numFmt w:val="bullet"/>
      <w:lvlText w:val="-"/>
      <w:lvlJc w:val="left"/>
      <w:pPr>
        <w:tabs>
          <w:tab w:val="num" w:pos="2340"/>
        </w:tabs>
        <w:ind w:left="2340" w:hanging="360"/>
      </w:pPr>
      <w:rPr>
        <w:rFonts w:ascii="Arial" w:eastAsia="ヒラギノ角ゴ Pro W3" w:hAnsi="Arial" w:cs="Arial"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8FE6990"/>
    <w:multiLevelType w:val="multilevel"/>
    <w:tmpl w:val="1D50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FF376A"/>
    <w:multiLevelType w:val="multilevel"/>
    <w:tmpl w:val="2232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4448F8"/>
    <w:multiLevelType w:val="multilevel"/>
    <w:tmpl w:val="51965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C050ED"/>
    <w:multiLevelType w:val="multilevel"/>
    <w:tmpl w:val="0CFEC924"/>
    <w:lvl w:ilvl="0">
      <w:start w:val="1"/>
      <w:numFmt w:val="upperLetter"/>
      <w:lvlText w:val="%1."/>
      <w:lvlJc w:val="left"/>
      <w:pPr>
        <w:ind w:left="360" w:hanging="360"/>
      </w:pPr>
    </w:lvl>
    <w:lvl w:ilvl="1">
      <w:start w:val="1"/>
      <w:numFmt w:val="bullet"/>
      <w:lvlText w:val=""/>
      <w:lvlJc w:val="left"/>
      <w:pPr>
        <w:ind w:left="720" w:hanging="360"/>
      </w:pPr>
      <w:rPr>
        <w:rFonts w:ascii="Wingdings" w:hAnsi="Wingdings" w:hint="default"/>
        <w:color w:val="0070C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AA708DC"/>
    <w:multiLevelType w:val="hybridMultilevel"/>
    <w:tmpl w:val="D79ACF1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ADD284C"/>
    <w:multiLevelType w:val="multilevel"/>
    <w:tmpl w:val="313C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D51C84"/>
    <w:multiLevelType w:val="hybridMultilevel"/>
    <w:tmpl w:val="592416EE"/>
    <w:lvl w:ilvl="0" w:tplc="76B431D0">
      <w:start w:val="1"/>
      <w:numFmt w:val="upperLetter"/>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8" w15:restartNumberingAfterBreak="0">
    <w:nsid w:val="643A4B25"/>
    <w:multiLevelType w:val="hybridMultilevel"/>
    <w:tmpl w:val="F0FEF56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56A609B"/>
    <w:multiLevelType w:val="multilevel"/>
    <w:tmpl w:val="E3E2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6503CD"/>
    <w:multiLevelType w:val="hybridMultilevel"/>
    <w:tmpl w:val="1D2C71DA"/>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1" w15:restartNumberingAfterBreak="0">
    <w:nsid w:val="6C566540"/>
    <w:multiLevelType w:val="multilevel"/>
    <w:tmpl w:val="4014C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7C1BC8"/>
    <w:multiLevelType w:val="hybridMultilevel"/>
    <w:tmpl w:val="FE8AAFC8"/>
    <w:lvl w:ilvl="0" w:tplc="1BBECEB0">
      <w:start w:val="1"/>
      <w:numFmt w:val="lowerLetter"/>
      <w:pStyle w:val="puntoelencolettera"/>
      <w:lvlText w:val="%1)"/>
      <w:lvlJc w:val="left"/>
      <w:pPr>
        <w:tabs>
          <w:tab w:val="num" w:pos="227"/>
        </w:tabs>
        <w:ind w:left="227" w:hanging="227"/>
      </w:pPr>
      <w:rPr>
        <w:rFonts w:ascii="PT Sans" w:hAnsi="PT Sans" w:hint="default"/>
        <w:strike w:val="0"/>
        <w:color w:val="auto"/>
        <w:sz w:val="20"/>
        <w:szCs w:val="20"/>
      </w:rPr>
    </w:lvl>
    <w:lvl w:ilvl="1" w:tplc="1442A836">
      <w:start w:val="2"/>
      <w:numFmt w:val="bullet"/>
      <w:lvlText w:val="-"/>
      <w:lvlJc w:val="left"/>
      <w:pPr>
        <w:tabs>
          <w:tab w:val="num" w:pos="1440"/>
        </w:tabs>
        <w:ind w:left="1440" w:hanging="360"/>
      </w:pPr>
      <w:rPr>
        <w:rFonts w:ascii="Arial" w:eastAsia="Times New Roman" w:hAnsi="Arial"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E51DA7"/>
    <w:multiLevelType w:val="hybridMultilevel"/>
    <w:tmpl w:val="4C64E936"/>
    <w:lvl w:ilvl="0" w:tplc="4628D468">
      <w:start w:val="1"/>
      <w:numFmt w:val="upperLetter"/>
      <w:lvlText w:val="%1)"/>
      <w:lvlJc w:val="left"/>
      <w:pPr>
        <w:ind w:left="720" w:hanging="360"/>
      </w:pPr>
      <w:rPr>
        <w:rFonts w:hint="default"/>
        <w:b/>
        <w:bCs w:val="0"/>
        <w:color w:val="0070C0"/>
        <w:u w:val="no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1982473"/>
    <w:multiLevelType w:val="multilevel"/>
    <w:tmpl w:val="33D8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36A62"/>
    <w:multiLevelType w:val="hybridMultilevel"/>
    <w:tmpl w:val="EFE0FAEA"/>
    <w:lvl w:ilvl="0" w:tplc="03B4811E">
      <w:numFmt w:val="bullet"/>
      <w:pStyle w:val="puntoelencopallino"/>
      <w:suff w:val="space"/>
      <w:lvlText w:val="•"/>
      <w:lvlJc w:val="left"/>
      <w:pPr>
        <w:ind w:left="720" w:hanging="360"/>
      </w:pPr>
      <w:rPr>
        <w:rFonts w:ascii="PT Sans" w:eastAsia="Times New Roman" w:hAnsi="PT San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91041989">
    <w:abstractNumId w:val="10"/>
  </w:num>
  <w:num w:numId="2" w16cid:durableId="987977072">
    <w:abstractNumId w:val="20"/>
  </w:num>
  <w:num w:numId="3" w16cid:durableId="1097214535">
    <w:abstractNumId w:val="11"/>
  </w:num>
  <w:num w:numId="4" w16cid:durableId="257179038">
    <w:abstractNumId w:val="1"/>
  </w:num>
  <w:num w:numId="5" w16cid:durableId="1677225003">
    <w:abstractNumId w:val="32"/>
  </w:num>
  <w:num w:numId="6" w16cid:durableId="1651985475">
    <w:abstractNumId w:val="5"/>
  </w:num>
  <w:num w:numId="7" w16cid:durableId="1181773558">
    <w:abstractNumId w:val="0"/>
  </w:num>
  <w:num w:numId="8" w16cid:durableId="1554341404">
    <w:abstractNumId w:val="35"/>
  </w:num>
  <w:num w:numId="9" w16cid:durableId="1144809138">
    <w:abstractNumId w:val="2"/>
  </w:num>
  <w:num w:numId="10" w16cid:durableId="1353646939">
    <w:abstractNumId w:val="8"/>
  </w:num>
  <w:num w:numId="11" w16cid:durableId="687871118">
    <w:abstractNumId w:val="9"/>
  </w:num>
  <w:num w:numId="12" w16cid:durableId="582567286">
    <w:abstractNumId w:val="19"/>
  </w:num>
  <w:num w:numId="13" w16cid:durableId="698623460">
    <w:abstractNumId w:val="17"/>
  </w:num>
  <w:num w:numId="14" w16cid:durableId="1531725123">
    <w:abstractNumId w:val="22"/>
  </w:num>
  <w:num w:numId="15" w16cid:durableId="126819844">
    <w:abstractNumId w:val="29"/>
  </w:num>
  <w:num w:numId="16" w16cid:durableId="835728162">
    <w:abstractNumId w:val="14"/>
  </w:num>
  <w:num w:numId="17" w16cid:durableId="789588258">
    <w:abstractNumId w:val="3"/>
  </w:num>
  <w:num w:numId="18" w16cid:durableId="1870294446">
    <w:abstractNumId w:val="28"/>
  </w:num>
  <w:num w:numId="19" w16cid:durableId="1735346509">
    <w:abstractNumId w:val="25"/>
  </w:num>
  <w:num w:numId="20" w16cid:durableId="236210171">
    <w:abstractNumId w:val="4"/>
  </w:num>
  <w:num w:numId="21" w16cid:durableId="159277484">
    <w:abstractNumId w:val="23"/>
  </w:num>
  <w:num w:numId="22" w16cid:durableId="777414018">
    <w:abstractNumId w:val="18"/>
  </w:num>
  <w:num w:numId="23" w16cid:durableId="1376467428">
    <w:abstractNumId w:val="6"/>
  </w:num>
  <w:num w:numId="24" w16cid:durableId="1068385316">
    <w:abstractNumId w:val="13"/>
  </w:num>
  <w:num w:numId="25" w16cid:durableId="1828856432">
    <w:abstractNumId w:val="31"/>
  </w:num>
  <w:num w:numId="26" w16cid:durableId="297145951">
    <w:abstractNumId w:val="21"/>
  </w:num>
  <w:num w:numId="27" w16cid:durableId="1836802402">
    <w:abstractNumId w:val="34"/>
  </w:num>
  <w:num w:numId="28" w16cid:durableId="206576456">
    <w:abstractNumId w:val="26"/>
  </w:num>
  <w:num w:numId="29" w16cid:durableId="101918289">
    <w:abstractNumId w:val="7"/>
  </w:num>
  <w:num w:numId="30" w16cid:durableId="1470125140">
    <w:abstractNumId w:val="30"/>
  </w:num>
  <w:num w:numId="31" w16cid:durableId="1863282936">
    <w:abstractNumId w:val="12"/>
  </w:num>
  <w:num w:numId="32" w16cid:durableId="1626083912">
    <w:abstractNumId w:val="15"/>
  </w:num>
  <w:num w:numId="33" w16cid:durableId="1153377086">
    <w:abstractNumId w:val="27"/>
  </w:num>
  <w:num w:numId="34" w16cid:durableId="1487629701">
    <w:abstractNumId w:val="24"/>
  </w:num>
  <w:num w:numId="35" w16cid:durableId="939947887">
    <w:abstractNumId w:val="16"/>
  </w:num>
  <w:num w:numId="36" w16cid:durableId="1197935655">
    <w:abstractNumId w:val="3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it-IT" w:vendorID="3" w:dllVersion="517" w:checkStyle="1"/>
  <w:proofState w:spelling="clean" w:grammar="clean"/>
  <w:documentProtection w:edit="readOnly" w:formatting="1" w:enforcement="1" w:cryptProviderType="rsaAES" w:cryptAlgorithmClass="hash" w:cryptAlgorithmType="typeAny" w:cryptAlgorithmSid="14" w:cryptSpinCount="100000" w:hash="C0Raqrg0v/PcAFmajru11GFE2ch21hCY32XUlncJno8N0wXEBo2NNIhpdEX5Hf8bsieuRQPozsA4ktiHcvzFzw==" w:salt="UVevntjVWAdXP0+4AxIQRA=="/>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067"/>
    <w:rsid w:val="0000779C"/>
    <w:rsid w:val="00026059"/>
    <w:rsid w:val="00026F9E"/>
    <w:rsid w:val="000270DE"/>
    <w:rsid w:val="0003460C"/>
    <w:rsid w:val="00036E1D"/>
    <w:rsid w:val="00037FF6"/>
    <w:rsid w:val="000430BE"/>
    <w:rsid w:val="00047F12"/>
    <w:rsid w:val="000840F1"/>
    <w:rsid w:val="000848E9"/>
    <w:rsid w:val="000901CC"/>
    <w:rsid w:val="000910FA"/>
    <w:rsid w:val="000926FA"/>
    <w:rsid w:val="000A0C07"/>
    <w:rsid w:val="000A7002"/>
    <w:rsid w:val="000B43A5"/>
    <w:rsid w:val="000B4B7F"/>
    <w:rsid w:val="000B580F"/>
    <w:rsid w:val="000B5D84"/>
    <w:rsid w:val="000B63B7"/>
    <w:rsid w:val="000C05A1"/>
    <w:rsid w:val="000C1C25"/>
    <w:rsid w:val="000C4439"/>
    <w:rsid w:val="000C6500"/>
    <w:rsid w:val="000D6401"/>
    <w:rsid w:val="000E2C9D"/>
    <w:rsid w:val="000F6DCB"/>
    <w:rsid w:val="000F6E9D"/>
    <w:rsid w:val="0010146E"/>
    <w:rsid w:val="00102C17"/>
    <w:rsid w:val="00105D10"/>
    <w:rsid w:val="00107E26"/>
    <w:rsid w:val="00110BD4"/>
    <w:rsid w:val="001135AC"/>
    <w:rsid w:val="00113816"/>
    <w:rsid w:val="00123141"/>
    <w:rsid w:val="00134722"/>
    <w:rsid w:val="001359B8"/>
    <w:rsid w:val="001376AB"/>
    <w:rsid w:val="001412AF"/>
    <w:rsid w:val="00142996"/>
    <w:rsid w:val="0014633A"/>
    <w:rsid w:val="0015231F"/>
    <w:rsid w:val="00152805"/>
    <w:rsid w:val="00155A5B"/>
    <w:rsid w:val="001659BB"/>
    <w:rsid w:val="00166193"/>
    <w:rsid w:val="001700D8"/>
    <w:rsid w:val="00172DCA"/>
    <w:rsid w:val="00180022"/>
    <w:rsid w:val="00190ECE"/>
    <w:rsid w:val="001A0CC5"/>
    <w:rsid w:val="001A0EA3"/>
    <w:rsid w:val="001A1EA1"/>
    <w:rsid w:val="001C2EF5"/>
    <w:rsid w:val="001C3164"/>
    <w:rsid w:val="001C38BE"/>
    <w:rsid w:val="001C47B3"/>
    <w:rsid w:val="001C4EFC"/>
    <w:rsid w:val="001C5072"/>
    <w:rsid w:val="001C759D"/>
    <w:rsid w:val="001C7C1C"/>
    <w:rsid w:val="001C7D8D"/>
    <w:rsid w:val="001D5372"/>
    <w:rsid w:val="001E0F62"/>
    <w:rsid w:val="001E1776"/>
    <w:rsid w:val="001F0405"/>
    <w:rsid w:val="001F26A6"/>
    <w:rsid w:val="001F6B44"/>
    <w:rsid w:val="0020051E"/>
    <w:rsid w:val="002053AD"/>
    <w:rsid w:val="00214884"/>
    <w:rsid w:val="0021681E"/>
    <w:rsid w:val="002215B4"/>
    <w:rsid w:val="0022294C"/>
    <w:rsid w:val="00231C88"/>
    <w:rsid w:val="00232189"/>
    <w:rsid w:val="0023371D"/>
    <w:rsid w:val="002359D2"/>
    <w:rsid w:val="0023774D"/>
    <w:rsid w:val="00243057"/>
    <w:rsid w:val="00243BBE"/>
    <w:rsid w:val="0024558D"/>
    <w:rsid w:val="00245EEC"/>
    <w:rsid w:val="00255861"/>
    <w:rsid w:val="002626F2"/>
    <w:rsid w:val="002728C1"/>
    <w:rsid w:val="0028191B"/>
    <w:rsid w:val="00282E0C"/>
    <w:rsid w:val="00284139"/>
    <w:rsid w:val="00291ED7"/>
    <w:rsid w:val="0029290E"/>
    <w:rsid w:val="00292DD8"/>
    <w:rsid w:val="002A0F58"/>
    <w:rsid w:val="002A4120"/>
    <w:rsid w:val="002A43BF"/>
    <w:rsid w:val="002A65AF"/>
    <w:rsid w:val="002C0CE6"/>
    <w:rsid w:val="002C5463"/>
    <w:rsid w:val="002D0328"/>
    <w:rsid w:val="002D05A2"/>
    <w:rsid w:val="002D19C1"/>
    <w:rsid w:val="002D6263"/>
    <w:rsid w:val="002E54E4"/>
    <w:rsid w:val="002F1720"/>
    <w:rsid w:val="002F1BF9"/>
    <w:rsid w:val="003026EB"/>
    <w:rsid w:val="00304B89"/>
    <w:rsid w:val="00306A48"/>
    <w:rsid w:val="00311819"/>
    <w:rsid w:val="00311B47"/>
    <w:rsid w:val="00312C56"/>
    <w:rsid w:val="00315158"/>
    <w:rsid w:val="00333DFF"/>
    <w:rsid w:val="003353C7"/>
    <w:rsid w:val="0033586F"/>
    <w:rsid w:val="00335B59"/>
    <w:rsid w:val="00335BA2"/>
    <w:rsid w:val="00335F60"/>
    <w:rsid w:val="00340F4B"/>
    <w:rsid w:val="00352742"/>
    <w:rsid w:val="00366E11"/>
    <w:rsid w:val="00367D0C"/>
    <w:rsid w:val="003846FF"/>
    <w:rsid w:val="00385DD0"/>
    <w:rsid w:val="0039156A"/>
    <w:rsid w:val="003932BE"/>
    <w:rsid w:val="00395991"/>
    <w:rsid w:val="003974EB"/>
    <w:rsid w:val="003A3C6C"/>
    <w:rsid w:val="003A4D62"/>
    <w:rsid w:val="003A7682"/>
    <w:rsid w:val="003A78A9"/>
    <w:rsid w:val="003B1FB7"/>
    <w:rsid w:val="003C0BAE"/>
    <w:rsid w:val="003C3067"/>
    <w:rsid w:val="003C52AC"/>
    <w:rsid w:val="003C79CC"/>
    <w:rsid w:val="003C7BBB"/>
    <w:rsid w:val="003D0B11"/>
    <w:rsid w:val="003D7D3D"/>
    <w:rsid w:val="003E1219"/>
    <w:rsid w:val="003E580D"/>
    <w:rsid w:val="003F5570"/>
    <w:rsid w:val="003F5EB9"/>
    <w:rsid w:val="00404F7F"/>
    <w:rsid w:val="00420BBB"/>
    <w:rsid w:val="004228C1"/>
    <w:rsid w:val="00424620"/>
    <w:rsid w:val="00426082"/>
    <w:rsid w:val="00436FF5"/>
    <w:rsid w:val="00442F6D"/>
    <w:rsid w:val="00446260"/>
    <w:rsid w:val="00450098"/>
    <w:rsid w:val="00466F1A"/>
    <w:rsid w:val="004674B0"/>
    <w:rsid w:val="0047647D"/>
    <w:rsid w:val="00482772"/>
    <w:rsid w:val="00483A9B"/>
    <w:rsid w:val="0049187B"/>
    <w:rsid w:val="004A2420"/>
    <w:rsid w:val="004A591F"/>
    <w:rsid w:val="004A5DD2"/>
    <w:rsid w:val="004B4362"/>
    <w:rsid w:val="004C0490"/>
    <w:rsid w:val="004C35B6"/>
    <w:rsid w:val="004D26B5"/>
    <w:rsid w:val="004E5143"/>
    <w:rsid w:val="004E5C52"/>
    <w:rsid w:val="004F2F54"/>
    <w:rsid w:val="004F4637"/>
    <w:rsid w:val="00503AEE"/>
    <w:rsid w:val="00504B18"/>
    <w:rsid w:val="00504CED"/>
    <w:rsid w:val="00507CEF"/>
    <w:rsid w:val="00510209"/>
    <w:rsid w:val="00511543"/>
    <w:rsid w:val="00511669"/>
    <w:rsid w:val="00513D14"/>
    <w:rsid w:val="00514F28"/>
    <w:rsid w:val="00521CE8"/>
    <w:rsid w:val="00525FE6"/>
    <w:rsid w:val="00530908"/>
    <w:rsid w:val="00543F0C"/>
    <w:rsid w:val="00547BA1"/>
    <w:rsid w:val="00551720"/>
    <w:rsid w:val="00551D4C"/>
    <w:rsid w:val="005541E4"/>
    <w:rsid w:val="00557188"/>
    <w:rsid w:val="00557EBB"/>
    <w:rsid w:val="00565A73"/>
    <w:rsid w:val="005665B5"/>
    <w:rsid w:val="0056692D"/>
    <w:rsid w:val="00566AAA"/>
    <w:rsid w:val="00572680"/>
    <w:rsid w:val="00575B20"/>
    <w:rsid w:val="005824DA"/>
    <w:rsid w:val="00584D60"/>
    <w:rsid w:val="00596215"/>
    <w:rsid w:val="00596C2E"/>
    <w:rsid w:val="005A004F"/>
    <w:rsid w:val="005A13CE"/>
    <w:rsid w:val="005A21D5"/>
    <w:rsid w:val="005A2B49"/>
    <w:rsid w:val="005A3D41"/>
    <w:rsid w:val="005B4F30"/>
    <w:rsid w:val="005B753E"/>
    <w:rsid w:val="005C7BB8"/>
    <w:rsid w:val="005E1A6B"/>
    <w:rsid w:val="005F3A06"/>
    <w:rsid w:val="006013E6"/>
    <w:rsid w:val="00606E1E"/>
    <w:rsid w:val="00607DB6"/>
    <w:rsid w:val="006125C9"/>
    <w:rsid w:val="006150FE"/>
    <w:rsid w:val="00622D38"/>
    <w:rsid w:val="00630A97"/>
    <w:rsid w:val="00634A39"/>
    <w:rsid w:val="0063576C"/>
    <w:rsid w:val="00640192"/>
    <w:rsid w:val="00655160"/>
    <w:rsid w:val="00655C88"/>
    <w:rsid w:val="006723A7"/>
    <w:rsid w:val="006776A5"/>
    <w:rsid w:val="00677AC6"/>
    <w:rsid w:val="0068368C"/>
    <w:rsid w:val="00683D3A"/>
    <w:rsid w:val="0069088C"/>
    <w:rsid w:val="0069109D"/>
    <w:rsid w:val="006943A0"/>
    <w:rsid w:val="00697253"/>
    <w:rsid w:val="006A1706"/>
    <w:rsid w:val="006A2CAC"/>
    <w:rsid w:val="006C0C23"/>
    <w:rsid w:val="006C6C98"/>
    <w:rsid w:val="006C7917"/>
    <w:rsid w:val="006D1E44"/>
    <w:rsid w:val="006D3DC2"/>
    <w:rsid w:val="006E7839"/>
    <w:rsid w:val="006F10E1"/>
    <w:rsid w:val="006F1FBC"/>
    <w:rsid w:val="006F2E08"/>
    <w:rsid w:val="006F734A"/>
    <w:rsid w:val="007014E5"/>
    <w:rsid w:val="0070698B"/>
    <w:rsid w:val="007373B6"/>
    <w:rsid w:val="00742651"/>
    <w:rsid w:val="007436AE"/>
    <w:rsid w:val="00743C4B"/>
    <w:rsid w:val="00744F41"/>
    <w:rsid w:val="007458D2"/>
    <w:rsid w:val="00750406"/>
    <w:rsid w:val="00750925"/>
    <w:rsid w:val="00761F64"/>
    <w:rsid w:val="00770810"/>
    <w:rsid w:val="00775E91"/>
    <w:rsid w:val="00782875"/>
    <w:rsid w:val="00790D76"/>
    <w:rsid w:val="00794541"/>
    <w:rsid w:val="007B41FF"/>
    <w:rsid w:val="007C062D"/>
    <w:rsid w:val="007C10B3"/>
    <w:rsid w:val="007C73F2"/>
    <w:rsid w:val="007D5F90"/>
    <w:rsid w:val="007D6B6A"/>
    <w:rsid w:val="007E2EDF"/>
    <w:rsid w:val="007E754C"/>
    <w:rsid w:val="007F4CE1"/>
    <w:rsid w:val="0080231B"/>
    <w:rsid w:val="00807894"/>
    <w:rsid w:val="00815DF5"/>
    <w:rsid w:val="0082158E"/>
    <w:rsid w:val="00821A63"/>
    <w:rsid w:val="00822525"/>
    <w:rsid w:val="008240DD"/>
    <w:rsid w:val="00824168"/>
    <w:rsid w:val="008271E4"/>
    <w:rsid w:val="008338C2"/>
    <w:rsid w:val="00840DB4"/>
    <w:rsid w:val="008443EA"/>
    <w:rsid w:val="00844D4D"/>
    <w:rsid w:val="00850DD7"/>
    <w:rsid w:val="0085273D"/>
    <w:rsid w:val="00855CE4"/>
    <w:rsid w:val="00860D99"/>
    <w:rsid w:val="00864568"/>
    <w:rsid w:val="00866EE9"/>
    <w:rsid w:val="00867A52"/>
    <w:rsid w:val="00872C90"/>
    <w:rsid w:val="00882331"/>
    <w:rsid w:val="00882504"/>
    <w:rsid w:val="0088303E"/>
    <w:rsid w:val="0089004D"/>
    <w:rsid w:val="00896A94"/>
    <w:rsid w:val="00897EF8"/>
    <w:rsid w:val="008A230A"/>
    <w:rsid w:val="008D0789"/>
    <w:rsid w:val="008D1B1B"/>
    <w:rsid w:val="008D21FC"/>
    <w:rsid w:val="008D4EFA"/>
    <w:rsid w:val="008D5C36"/>
    <w:rsid w:val="008E0973"/>
    <w:rsid w:val="008E1080"/>
    <w:rsid w:val="008E15B8"/>
    <w:rsid w:val="008E6D99"/>
    <w:rsid w:val="008F12F0"/>
    <w:rsid w:val="008F462E"/>
    <w:rsid w:val="00904610"/>
    <w:rsid w:val="00912A70"/>
    <w:rsid w:val="009216FE"/>
    <w:rsid w:val="00927352"/>
    <w:rsid w:val="00940D8D"/>
    <w:rsid w:val="009413F3"/>
    <w:rsid w:val="00945767"/>
    <w:rsid w:val="0094713E"/>
    <w:rsid w:val="00950FC7"/>
    <w:rsid w:val="0095743F"/>
    <w:rsid w:val="0096354C"/>
    <w:rsid w:val="009641C0"/>
    <w:rsid w:val="00964AE0"/>
    <w:rsid w:val="00970D83"/>
    <w:rsid w:val="00973749"/>
    <w:rsid w:val="00976E72"/>
    <w:rsid w:val="00982C44"/>
    <w:rsid w:val="0098481E"/>
    <w:rsid w:val="00993F20"/>
    <w:rsid w:val="00994CBD"/>
    <w:rsid w:val="009B278A"/>
    <w:rsid w:val="009B36DE"/>
    <w:rsid w:val="009C0F7E"/>
    <w:rsid w:val="009C21B8"/>
    <w:rsid w:val="009C4197"/>
    <w:rsid w:val="009C55EA"/>
    <w:rsid w:val="009D4657"/>
    <w:rsid w:val="009D7D9A"/>
    <w:rsid w:val="009E2F29"/>
    <w:rsid w:val="009E5CC4"/>
    <w:rsid w:val="009F2945"/>
    <w:rsid w:val="009F65B1"/>
    <w:rsid w:val="009F6CFC"/>
    <w:rsid w:val="009F6E12"/>
    <w:rsid w:val="00A02568"/>
    <w:rsid w:val="00A02BDC"/>
    <w:rsid w:val="00A073EB"/>
    <w:rsid w:val="00A10365"/>
    <w:rsid w:val="00A12302"/>
    <w:rsid w:val="00A134DE"/>
    <w:rsid w:val="00A16C49"/>
    <w:rsid w:val="00A219C3"/>
    <w:rsid w:val="00A23382"/>
    <w:rsid w:val="00A24939"/>
    <w:rsid w:val="00A254DA"/>
    <w:rsid w:val="00A25BC4"/>
    <w:rsid w:val="00A372DC"/>
    <w:rsid w:val="00A507A2"/>
    <w:rsid w:val="00A567B7"/>
    <w:rsid w:val="00A674C2"/>
    <w:rsid w:val="00A725FF"/>
    <w:rsid w:val="00A72FF2"/>
    <w:rsid w:val="00A8135A"/>
    <w:rsid w:val="00A85645"/>
    <w:rsid w:val="00A90499"/>
    <w:rsid w:val="00A92404"/>
    <w:rsid w:val="00A97AEC"/>
    <w:rsid w:val="00AA1FAB"/>
    <w:rsid w:val="00AA2E2A"/>
    <w:rsid w:val="00AA3760"/>
    <w:rsid w:val="00AA5E88"/>
    <w:rsid w:val="00AB0B17"/>
    <w:rsid w:val="00AB2213"/>
    <w:rsid w:val="00AC1117"/>
    <w:rsid w:val="00AD5639"/>
    <w:rsid w:val="00AE14F2"/>
    <w:rsid w:val="00AE1FBA"/>
    <w:rsid w:val="00AE4805"/>
    <w:rsid w:val="00AE6070"/>
    <w:rsid w:val="00AF164E"/>
    <w:rsid w:val="00AF1C33"/>
    <w:rsid w:val="00AF28E3"/>
    <w:rsid w:val="00AF78EC"/>
    <w:rsid w:val="00B0077B"/>
    <w:rsid w:val="00B010A5"/>
    <w:rsid w:val="00B013C1"/>
    <w:rsid w:val="00B0581E"/>
    <w:rsid w:val="00B07CE5"/>
    <w:rsid w:val="00B123D2"/>
    <w:rsid w:val="00B20216"/>
    <w:rsid w:val="00B20371"/>
    <w:rsid w:val="00B30F86"/>
    <w:rsid w:val="00B32748"/>
    <w:rsid w:val="00B340D8"/>
    <w:rsid w:val="00B47BC2"/>
    <w:rsid w:val="00B504ED"/>
    <w:rsid w:val="00B6103C"/>
    <w:rsid w:val="00B62DA0"/>
    <w:rsid w:val="00B66A03"/>
    <w:rsid w:val="00B813B5"/>
    <w:rsid w:val="00B81A72"/>
    <w:rsid w:val="00B857C6"/>
    <w:rsid w:val="00B86AB6"/>
    <w:rsid w:val="00B96E56"/>
    <w:rsid w:val="00BA2262"/>
    <w:rsid w:val="00BA5408"/>
    <w:rsid w:val="00BA7D94"/>
    <w:rsid w:val="00BB63F8"/>
    <w:rsid w:val="00BB6C90"/>
    <w:rsid w:val="00BC34D8"/>
    <w:rsid w:val="00BD338D"/>
    <w:rsid w:val="00BD58AC"/>
    <w:rsid w:val="00BD5B6D"/>
    <w:rsid w:val="00BE5689"/>
    <w:rsid w:val="00BE5C0F"/>
    <w:rsid w:val="00BE62A3"/>
    <w:rsid w:val="00BF0236"/>
    <w:rsid w:val="00BF7197"/>
    <w:rsid w:val="00BF7A0D"/>
    <w:rsid w:val="00C018C4"/>
    <w:rsid w:val="00C02A47"/>
    <w:rsid w:val="00C0798A"/>
    <w:rsid w:val="00C14973"/>
    <w:rsid w:val="00C217B2"/>
    <w:rsid w:val="00C23DAF"/>
    <w:rsid w:val="00C24D25"/>
    <w:rsid w:val="00C27CD4"/>
    <w:rsid w:val="00C30252"/>
    <w:rsid w:val="00C314E4"/>
    <w:rsid w:val="00C320E8"/>
    <w:rsid w:val="00C36F3E"/>
    <w:rsid w:val="00C41606"/>
    <w:rsid w:val="00C45619"/>
    <w:rsid w:val="00C53AE8"/>
    <w:rsid w:val="00C60172"/>
    <w:rsid w:val="00C60A3E"/>
    <w:rsid w:val="00C61043"/>
    <w:rsid w:val="00C61B15"/>
    <w:rsid w:val="00C61F6E"/>
    <w:rsid w:val="00C67EF5"/>
    <w:rsid w:val="00C7391D"/>
    <w:rsid w:val="00C77D7D"/>
    <w:rsid w:val="00C81201"/>
    <w:rsid w:val="00C82DD6"/>
    <w:rsid w:val="00C867A6"/>
    <w:rsid w:val="00C87EDB"/>
    <w:rsid w:val="00C91E15"/>
    <w:rsid w:val="00C9355F"/>
    <w:rsid w:val="00C97405"/>
    <w:rsid w:val="00CA06CB"/>
    <w:rsid w:val="00CA1D37"/>
    <w:rsid w:val="00CA3E44"/>
    <w:rsid w:val="00CA4B8E"/>
    <w:rsid w:val="00CB4BA3"/>
    <w:rsid w:val="00CC3A8A"/>
    <w:rsid w:val="00CC448F"/>
    <w:rsid w:val="00CC4C5E"/>
    <w:rsid w:val="00CD07D1"/>
    <w:rsid w:val="00CD3CBD"/>
    <w:rsid w:val="00CD56FA"/>
    <w:rsid w:val="00CD5FFF"/>
    <w:rsid w:val="00CE5CD1"/>
    <w:rsid w:val="00CF202A"/>
    <w:rsid w:val="00CF3189"/>
    <w:rsid w:val="00CF46A9"/>
    <w:rsid w:val="00CF67E1"/>
    <w:rsid w:val="00CF7313"/>
    <w:rsid w:val="00D07C93"/>
    <w:rsid w:val="00D12D8B"/>
    <w:rsid w:val="00D13550"/>
    <w:rsid w:val="00D2019D"/>
    <w:rsid w:val="00D23BF5"/>
    <w:rsid w:val="00D267E4"/>
    <w:rsid w:val="00D375A3"/>
    <w:rsid w:val="00D460E9"/>
    <w:rsid w:val="00D5010D"/>
    <w:rsid w:val="00D57C0B"/>
    <w:rsid w:val="00D63D3C"/>
    <w:rsid w:val="00D71DE7"/>
    <w:rsid w:val="00D7207B"/>
    <w:rsid w:val="00D738E8"/>
    <w:rsid w:val="00D76775"/>
    <w:rsid w:val="00D77905"/>
    <w:rsid w:val="00D80C93"/>
    <w:rsid w:val="00D83188"/>
    <w:rsid w:val="00D91F2D"/>
    <w:rsid w:val="00D94856"/>
    <w:rsid w:val="00DA06A7"/>
    <w:rsid w:val="00DA56C5"/>
    <w:rsid w:val="00DA5E95"/>
    <w:rsid w:val="00DA644F"/>
    <w:rsid w:val="00DB1546"/>
    <w:rsid w:val="00DB1B10"/>
    <w:rsid w:val="00DB6E40"/>
    <w:rsid w:val="00DC2FEE"/>
    <w:rsid w:val="00DC6BE4"/>
    <w:rsid w:val="00DD08EC"/>
    <w:rsid w:val="00DD4BAC"/>
    <w:rsid w:val="00DF181F"/>
    <w:rsid w:val="00DF2417"/>
    <w:rsid w:val="00DF2B99"/>
    <w:rsid w:val="00DF75F3"/>
    <w:rsid w:val="00E04341"/>
    <w:rsid w:val="00E206D4"/>
    <w:rsid w:val="00E21FF9"/>
    <w:rsid w:val="00E27045"/>
    <w:rsid w:val="00E327EE"/>
    <w:rsid w:val="00E4153A"/>
    <w:rsid w:val="00E524DA"/>
    <w:rsid w:val="00E54787"/>
    <w:rsid w:val="00E54955"/>
    <w:rsid w:val="00E67511"/>
    <w:rsid w:val="00E67A61"/>
    <w:rsid w:val="00E70229"/>
    <w:rsid w:val="00E727F6"/>
    <w:rsid w:val="00E73D68"/>
    <w:rsid w:val="00E802A3"/>
    <w:rsid w:val="00E84B5E"/>
    <w:rsid w:val="00E87A60"/>
    <w:rsid w:val="00E90F14"/>
    <w:rsid w:val="00E95CB2"/>
    <w:rsid w:val="00EB0425"/>
    <w:rsid w:val="00EB0717"/>
    <w:rsid w:val="00EB0C92"/>
    <w:rsid w:val="00EC05CE"/>
    <w:rsid w:val="00EC38BC"/>
    <w:rsid w:val="00EC5F7C"/>
    <w:rsid w:val="00EC6FF1"/>
    <w:rsid w:val="00ED1254"/>
    <w:rsid w:val="00ED2D8E"/>
    <w:rsid w:val="00ED5575"/>
    <w:rsid w:val="00ED5E70"/>
    <w:rsid w:val="00ED6971"/>
    <w:rsid w:val="00EE06AE"/>
    <w:rsid w:val="00EE0EBF"/>
    <w:rsid w:val="00EE35C8"/>
    <w:rsid w:val="00EE361D"/>
    <w:rsid w:val="00EE55B2"/>
    <w:rsid w:val="00EE78AF"/>
    <w:rsid w:val="00EF4767"/>
    <w:rsid w:val="00F00A31"/>
    <w:rsid w:val="00F046D5"/>
    <w:rsid w:val="00F047DF"/>
    <w:rsid w:val="00F07340"/>
    <w:rsid w:val="00F10200"/>
    <w:rsid w:val="00F10B81"/>
    <w:rsid w:val="00F11C81"/>
    <w:rsid w:val="00F14F0F"/>
    <w:rsid w:val="00F23168"/>
    <w:rsid w:val="00F24EAD"/>
    <w:rsid w:val="00F504D9"/>
    <w:rsid w:val="00F5185E"/>
    <w:rsid w:val="00F537B3"/>
    <w:rsid w:val="00F5469A"/>
    <w:rsid w:val="00F56240"/>
    <w:rsid w:val="00F57F95"/>
    <w:rsid w:val="00F6291C"/>
    <w:rsid w:val="00F670E0"/>
    <w:rsid w:val="00F717B6"/>
    <w:rsid w:val="00F83558"/>
    <w:rsid w:val="00F86DB9"/>
    <w:rsid w:val="00F92DBA"/>
    <w:rsid w:val="00F9552F"/>
    <w:rsid w:val="00F97E3A"/>
    <w:rsid w:val="00FA11BF"/>
    <w:rsid w:val="00FA33C0"/>
    <w:rsid w:val="00FB15B9"/>
    <w:rsid w:val="00FB16AD"/>
    <w:rsid w:val="00FB7856"/>
    <w:rsid w:val="00FD196B"/>
    <w:rsid w:val="00FE0692"/>
    <w:rsid w:val="00FE22D1"/>
    <w:rsid w:val="00FE6132"/>
    <w:rsid w:val="00FE6E69"/>
    <w:rsid w:val="00FF37F9"/>
    <w:rsid w:val="00FF4E73"/>
    <w:rsid w:val="00FF7203"/>
  </w:rsids>
  <m:mathPr>
    <m:mathFont m:val="Cambria Math"/>
    <m:brkBin m:val="before"/>
    <m:brkBinSub m:val="--"/>
    <m:smallFrac m:val="0"/>
    <m:dispDef m:val="0"/>
    <m:lMargin m:val="0"/>
    <m:rMargin m:val="0"/>
    <m:defJc m:val="centerGroup"/>
    <m:wrapRight/>
    <m:intLim m:val="subSup"/>
    <m:naryLim m:val="subSup"/>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CD8C64"/>
  <w15:docId w15:val="{0A86834E-7BF5-45F1-B13E-0D1AE68A7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it-IT"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47F12"/>
    <w:pPr>
      <w:spacing w:after="0"/>
      <w:ind w:left="1077"/>
      <w:jc w:val="both"/>
    </w:pPr>
    <w:rPr>
      <w:rFonts w:ascii="Calibri" w:eastAsia="Calibri" w:hAnsi="Calibri" w:cs="Times New Roman"/>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3C3067"/>
    <w:pPr>
      <w:tabs>
        <w:tab w:val="center" w:pos="4819"/>
        <w:tab w:val="right" w:pos="9638"/>
      </w:tabs>
    </w:pPr>
  </w:style>
  <w:style w:type="character" w:customStyle="1" w:styleId="IntestazioneCarattere">
    <w:name w:val="Intestazione Carattere"/>
    <w:basedOn w:val="Carpredefinitoparagrafo"/>
    <w:link w:val="Intestazione"/>
    <w:rsid w:val="003C3067"/>
  </w:style>
  <w:style w:type="paragraph" w:styleId="Pidipagina">
    <w:name w:val="footer"/>
    <w:basedOn w:val="Normale"/>
    <w:link w:val="PidipaginaCarattere"/>
    <w:unhideWhenUsed/>
    <w:rsid w:val="003C3067"/>
    <w:pPr>
      <w:tabs>
        <w:tab w:val="center" w:pos="4819"/>
        <w:tab w:val="right" w:pos="9638"/>
      </w:tabs>
    </w:pPr>
  </w:style>
  <w:style w:type="character" w:customStyle="1" w:styleId="PidipaginaCarattere">
    <w:name w:val="Piè di pagina Carattere"/>
    <w:basedOn w:val="Carpredefinitoparagrafo"/>
    <w:link w:val="Pidipagina"/>
    <w:rsid w:val="003C3067"/>
  </w:style>
  <w:style w:type="paragraph" w:styleId="Testofumetto">
    <w:name w:val="Balloon Text"/>
    <w:basedOn w:val="Normale"/>
    <w:link w:val="TestofumettoCarattere"/>
    <w:unhideWhenUsed/>
    <w:rsid w:val="003C3067"/>
    <w:rPr>
      <w:rFonts w:ascii="Lucida Grande" w:hAnsi="Lucida Grande"/>
      <w:sz w:val="18"/>
      <w:szCs w:val="18"/>
    </w:rPr>
  </w:style>
  <w:style w:type="character" w:customStyle="1" w:styleId="TestofumettoCarattere">
    <w:name w:val="Testo fumetto Carattere"/>
    <w:basedOn w:val="Carpredefinitoparagrafo"/>
    <w:link w:val="Testofumetto"/>
    <w:rsid w:val="003C3067"/>
    <w:rPr>
      <w:rFonts w:ascii="Lucida Grande" w:hAnsi="Lucida Grande"/>
      <w:sz w:val="18"/>
      <w:szCs w:val="18"/>
    </w:rPr>
  </w:style>
  <w:style w:type="paragraph" w:styleId="NormaleWeb">
    <w:name w:val="Normal (Web)"/>
    <w:basedOn w:val="Normale"/>
    <w:uiPriority w:val="99"/>
    <w:semiHidden/>
    <w:unhideWhenUsed/>
    <w:rsid w:val="003C3067"/>
    <w:pPr>
      <w:spacing w:before="100" w:beforeAutospacing="1" w:after="100" w:afterAutospacing="1"/>
    </w:pPr>
    <w:rPr>
      <w:rFonts w:ascii="Times" w:hAnsi="Times"/>
      <w:sz w:val="20"/>
      <w:szCs w:val="20"/>
      <w:lang w:eastAsia="it-IT"/>
    </w:rPr>
  </w:style>
  <w:style w:type="paragraph" w:customStyle="1" w:styleId="titoloinformativa">
    <w:name w:val="titolo informativa"/>
    <w:rsid w:val="00557188"/>
    <w:pPr>
      <w:spacing w:after="0" w:line="320" w:lineRule="exact"/>
      <w:jc w:val="center"/>
    </w:pPr>
    <w:rPr>
      <w:rFonts w:ascii="PT Sans" w:eastAsia="Times New Roman" w:hAnsi="PT Sans" w:cs="Times New Roman"/>
      <w:b/>
      <w:bCs/>
      <w:szCs w:val="20"/>
      <w:lang w:eastAsia="it-IT"/>
    </w:rPr>
  </w:style>
  <w:style w:type="paragraph" w:customStyle="1" w:styleId="corpotestoinformativa">
    <w:name w:val="corpo testo informativa"/>
    <w:link w:val="corpotestoinformativaCarattere"/>
    <w:rsid w:val="00557188"/>
    <w:pPr>
      <w:spacing w:after="0" w:line="320" w:lineRule="exact"/>
      <w:jc w:val="both"/>
    </w:pPr>
    <w:rPr>
      <w:rFonts w:ascii="PT Sans" w:eastAsia="Times New Roman" w:hAnsi="PT Sans" w:cs="Times New Roman"/>
      <w:sz w:val="22"/>
      <w:szCs w:val="20"/>
      <w:lang w:eastAsia="it-IT"/>
    </w:rPr>
  </w:style>
  <w:style w:type="character" w:customStyle="1" w:styleId="firma">
    <w:name w:val="firma"/>
    <w:rsid w:val="00557188"/>
    <w:rPr>
      <w:rFonts w:ascii="PT Sans" w:hAnsi="PT Sans"/>
      <w:b/>
      <w:bCs/>
      <w:i/>
      <w:iCs/>
    </w:rPr>
  </w:style>
  <w:style w:type="paragraph" w:customStyle="1" w:styleId="xmsonormal">
    <w:name w:val="x_msonormal"/>
    <w:basedOn w:val="Normale"/>
    <w:rsid w:val="003C52AC"/>
    <w:pPr>
      <w:spacing w:before="100" w:beforeAutospacing="1" w:after="100" w:afterAutospacing="1"/>
      <w:ind w:left="0"/>
      <w:jc w:val="left"/>
    </w:pPr>
    <w:rPr>
      <w:rFonts w:eastAsiaTheme="minorHAnsi" w:cs="Calibri"/>
      <w:lang w:eastAsia="it-IT"/>
    </w:rPr>
  </w:style>
  <w:style w:type="paragraph" w:customStyle="1" w:styleId="wkit-indentation-level-0">
    <w:name w:val="wkit-indentation-level-0"/>
    <w:basedOn w:val="Normale"/>
    <w:rsid w:val="00E84B5E"/>
    <w:pPr>
      <w:spacing w:before="100" w:beforeAutospacing="1" w:after="100" w:afterAutospacing="1"/>
      <w:ind w:left="0"/>
      <w:jc w:val="left"/>
    </w:pPr>
    <w:rPr>
      <w:rFonts w:ascii="Times New Roman" w:eastAsia="Times New Roman" w:hAnsi="Times New Roman"/>
      <w:sz w:val="24"/>
      <w:szCs w:val="24"/>
      <w:lang w:eastAsia="it-IT"/>
    </w:rPr>
  </w:style>
  <w:style w:type="character" w:styleId="Collegamentoipertestuale">
    <w:name w:val="Hyperlink"/>
    <w:basedOn w:val="Carpredefinitoparagrafo"/>
    <w:uiPriority w:val="99"/>
    <w:unhideWhenUsed/>
    <w:rsid w:val="00E84B5E"/>
    <w:rPr>
      <w:color w:val="0000FF"/>
      <w:u w:val="single"/>
    </w:rPr>
  </w:style>
  <w:style w:type="character" w:customStyle="1" w:styleId="wkit-bold">
    <w:name w:val="wkit-bold"/>
    <w:basedOn w:val="Carpredefinitoparagrafo"/>
    <w:rsid w:val="00E84B5E"/>
  </w:style>
  <w:style w:type="character" w:customStyle="1" w:styleId="corpotestoinformativaCarattere">
    <w:name w:val="corpo testo informativa Carattere"/>
    <w:link w:val="corpotestoinformativa"/>
    <w:rsid w:val="002A0F58"/>
    <w:rPr>
      <w:rFonts w:ascii="PT Sans" w:eastAsia="Times New Roman" w:hAnsi="PT Sans" w:cs="Times New Roman"/>
      <w:sz w:val="22"/>
      <w:szCs w:val="20"/>
      <w:lang w:eastAsia="it-IT"/>
    </w:rPr>
  </w:style>
  <w:style w:type="paragraph" w:customStyle="1" w:styleId="paragrafo">
    <w:name w:val="paragrafo"/>
    <w:basedOn w:val="corpotestoinformativa"/>
    <w:rsid w:val="00584D60"/>
    <w:rPr>
      <w:b/>
      <w:color w:val="D2232A"/>
    </w:rPr>
  </w:style>
  <w:style w:type="paragraph" w:customStyle="1" w:styleId="rubrica">
    <w:name w:val="rubrica"/>
    <w:rsid w:val="00584D60"/>
    <w:pPr>
      <w:spacing w:after="0" w:line="320" w:lineRule="exact"/>
    </w:pPr>
    <w:rPr>
      <w:rFonts w:ascii="PT Sans" w:eastAsia="Times New Roman" w:hAnsi="PT Sans" w:cs="Arial"/>
      <w:b/>
      <w:sz w:val="32"/>
      <w:szCs w:val="32"/>
      <w:lang w:eastAsia="it-IT"/>
    </w:rPr>
  </w:style>
  <w:style w:type="paragraph" w:customStyle="1" w:styleId="sottoparagrafo">
    <w:name w:val="sottoparagrafo"/>
    <w:basedOn w:val="NormaleWeb"/>
    <w:rsid w:val="00584D60"/>
    <w:pPr>
      <w:numPr>
        <w:numId w:val="10"/>
      </w:numPr>
      <w:ind w:left="1077"/>
    </w:pPr>
  </w:style>
  <w:style w:type="paragraph" w:customStyle="1" w:styleId="testopuntoelenco">
    <w:name w:val="testo punto elenco"/>
    <w:basedOn w:val="corpotestoinformativa"/>
    <w:rsid w:val="00584D60"/>
    <w:pPr>
      <w:numPr>
        <w:numId w:val="3"/>
      </w:numPr>
    </w:pPr>
    <w:rPr>
      <w:rFonts w:cs="Arial"/>
      <w:szCs w:val="22"/>
    </w:rPr>
  </w:style>
  <w:style w:type="paragraph" w:customStyle="1" w:styleId="sottotitolotabellasfondochiaro">
    <w:name w:val="sottotitolo tabella sfondo chiaro"/>
    <w:basedOn w:val="Normale"/>
    <w:uiPriority w:val="11"/>
    <w:qFormat/>
    <w:rsid w:val="00584D60"/>
    <w:pPr>
      <w:spacing w:line="280" w:lineRule="exact"/>
      <w:ind w:left="0"/>
      <w:jc w:val="center"/>
    </w:pPr>
    <w:rPr>
      <w:rFonts w:ascii="PT Sans" w:eastAsia="Times New Roman" w:hAnsi="PT Sans"/>
      <w:color w:val="000000"/>
      <w:sz w:val="20"/>
      <w:szCs w:val="20"/>
      <w:lang w:eastAsia="it-IT"/>
    </w:rPr>
  </w:style>
  <w:style w:type="paragraph" w:customStyle="1" w:styleId="titolotabellasfondoscuro">
    <w:name w:val="titolo tabella sfondo scuro"/>
    <w:basedOn w:val="sottotitolotabellasfondochiaro"/>
    <w:uiPriority w:val="9"/>
    <w:qFormat/>
    <w:rsid w:val="00584D60"/>
    <w:pPr>
      <w:spacing w:line="320" w:lineRule="exact"/>
    </w:pPr>
    <w:rPr>
      <w:b/>
    </w:rPr>
  </w:style>
  <w:style w:type="paragraph" w:customStyle="1" w:styleId="testotabella10">
    <w:name w:val="testo tabella 10"/>
    <w:basedOn w:val="Normale"/>
    <w:qFormat/>
    <w:rsid w:val="00584D60"/>
    <w:pPr>
      <w:spacing w:line="320" w:lineRule="exact"/>
      <w:ind w:left="0"/>
    </w:pPr>
    <w:rPr>
      <w:rFonts w:ascii="PT Sans" w:eastAsia="Times New Roman" w:hAnsi="PT Sans"/>
      <w:color w:val="000000"/>
      <w:sz w:val="20"/>
      <w:szCs w:val="20"/>
      <w:lang w:eastAsia="it-IT"/>
    </w:rPr>
  </w:style>
  <w:style w:type="table" w:customStyle="1" w:styleId="Stile8">
    <w:name w:val="Stile8"/>
    <w:basedOn w:val="Tabellanormale"/>
    <w:uiPriority w:val="99"/>
    <w:rsid w:val="00584D60"/>
    <w:pPr>
      <w:spacing w:after="0"/>
    </w:pPr>
    <w:rPr>
      <w:rFonts w:ascii="Calibri" w:eastAsia="Calibri" w:hAnsi="Calibri" w:cs="Times New Roman"/>
      <w:sz w:val="20"/>
      <w:szCs w:val="20"/>
      <w:lang w:eastAsia="it-IT"/>
    </w:rPr>
    <w:tblPr>
      <w:tblBorders>
        <w:top w:val="single" w:sz="4" w:space="0" w:color="A40037"/>
        <w:left w:val="single" w:sz="4" w:space="0" w:color="A40037"/>
        <w:bottom w:val="single" w:sz="4" w:space="0" w:color="A40037"/>
        <w:right w:val="single" w:sz="4" w:space="0" w:color="A40037"/>
        <w:insideH w:val="single" w:sz="4" w:space="0" w:color="A40037"/>
        <w:insideV w:val="single" w:sz="4" w:space="0" w:color="A40037"/>
      </w:tblBorders>
    </w:tblPr>
    <w:tblStylePr w:type="firstRow">
      <w:tblPr/>
      <w:tcPr>
        <w:shd w:val="clear" w:color="auto" w:fill="FF5353"/>
      </w:tcPr>
    </w:tblStylePr>
  </w:style>
  <w:style w:type="paragraph" w:customStyle="1" w:styleId="macrotemabox">
    <w:name w:val="macrotema box"/>
    <w:rsid w:val="00584D60"/>
    <w:pPr>
      <w:spacing w:after="0" w:line="280" w:lineRule="exact"/>
      <w:jc w:val="center"/>
    </w:pPr>
    <w:rPr>
      <w:rFonts w:ascii="PT Sans" w:eastAsia="Times New Roman" w:hAnsi="PT Sans" w:cs="Times New Roman"/>
      <w:b/>
      <w:bCs/>
      <w:iCs/>
      <w:smallCaps/>
      <w:color w:val="FFFFFF"/>
      <w:sz w:val="32"/>
      <w:szCs w:val="20"/>
      <w:lang w:eastAsia="it-IT"/>
    </w:rPr>
  </w:style>
  <w:style w:type="paragraph" w:customStyle="1" w:styleId="testoflash">
    <w:name w:val="testo flash"/>
    <w:basedOn w:val="corpotestoinformativa"/>
    <w:rsid w:val="00584D60"/>
  </w:style>
  <w:style w:type="paragraph" w:customStyle="1" w:styleId="fonteflash">
    <w:name w:val="fonte flash"/>
    <w:basedOn w:val="Normale"/>
    <w:rsid w:val="00584D60"/>
    <w:pPr>
      <w:spacing w:before="60" w:after="40" w:line="320" w:lineRule="exact"/>
      <w:ind w:left="0"/>
      <w:jc w:val="right"/>
    </w:pPr>
    <w:rPr>
      <w:rFonts w:ascii="PT Sans" w:eastAsia="Times New Roman" w:hAnsi="PT Sans"/>
      <w:b/>
      <w:bCs/>
      <w:sz w:val="20"/>
      <w:szCs w:val="20"/>
      <w:lang w:eastAsia="it-IT"/>
    </w:rPr>
  </w:style>
  <w:style w:type="paragraph" w:customStyle="1" w:styleId="titoloflash">
    <w:name w:val="titolo flash"/>
    <w:rsid w:val="00584D60"/>
    <w:pPr>
      <w:spacing w:after="0" w:line="320" w:lineRule="exact"/>
    </w:pPr>
    <w:rPr>
      <w:rFonts w:ascii="PT Sans" w:eastAsia="Times New Roman" w:hAnsi="PT Sans" w:cs="Times New Roman"/>
      <w:b/>
      <w:bCs/>
      <w:sz w:val="22"/>
      <w:szCs w:val="20"/>
      <w:lang w:eastAsia="it-IT"/>
    </w:rPr>
  </w:style>
  <w:style w:type="paragraph" w:customStyle="1" w:styleId="flash2TITOLO">
    <w:name w:val="flash 2 TITOLO"/>
    <w:basedOn w:val="Normale"/>
    <w:uiPriority w:val="1"/>
    <w:rsid w:val="00584D60"/>
    <w:pPr>
      <w:widowControl w:val="0"/>
      <w:autoSpaceDE w:val="0"/>
      <w:autoSpaceDN w:val="0"/>
      <w:adjustRightInd w:val="0"/>
      <w:ind w:left="0"/>
      <w:textAlignment w:val="center"/>
    </w:pPr>
    <w:rPr>
      <w:rFonts w:ascii="PT Sans" w:eastAsia="Times New Roman" w:hAnsi="PT Sans" w:cs="Calibri"/>
      <w:b/>
      <w:bCs/>
      <w:color w:val="000000"/>
      <w:szCs w:val="24"/>
      <w:lang w:eastAsia="it-IT"/>
    </w:rPr>
  </w:style>
  <w:style w:type="paragraph" w:customStyle="1" w:styleId="flash3TESTO">
    <w:name w:val="flash 3 TESTO"/>
    <w:basedOn w:val="Normale"/>
    <w:uiPriority w:val="1"/>
    <w:rsid w:val="00584D60"/>
    <w:pPr>
      <w:widowControl w:val="0"/>
      <w:autoSpaceDE w:val="0"/>
      <w:autoSpaceDN w:val="0"/>
      <w:adjustRightInd w:val="0"/>
      <w:ind w:left="0"/>
      <w:textAlignment w:val="center"/>
    </w:pPr>
    <w:rPr>
      <w:rFonts w:ascii="PT Sans" w:eastAsia="Times New Roman" w:hAnsi="PT Sans" w:cs="Calibri"/>
      <w:color w:val="000000"/>
      <w:lang w:eastAsia="it-IT"/>
    </w:rPr>
  </w:style>
  <w:style w:type="character" w:styleId="Numeropagina">
    <w:name w:val="page number"/>
    <w:rsid w:val="00584D60"/>
    <w:rPr>
      <w:rFonts w:ascii="PT Sans" w:hAnsi="PT Sans"/>
    </w:rPr>
  </w:style>
  <w:style w:type="character" w:customStyle="1" w:styleId="titolirubricheindice">
    <w:name w:val="titoli rubriche indice"/>
    <w:rsid w:val="00584D60"/>
    <w:rPr>
      <w:rFonts w:ascii="PT Sans" w:hAnsi="PT Sans"/>
      <w:b/>
      <w:bCs/>
      <w:color w:val="D2232A"/>
      <w:sz w:val="28"/>
    </w:rPr>
  </w:style>
  <w:style w:type="paragraph" w:customStyle="1" w:styleId="spaziotrascadenzeccnl">
    <w:name w:val="spazio tra scadenze ccnl"/>
    <w:basedOn w:val="Normale"/>
    <w:qFormat/>
    <w:rsid w:val="00584D60"/>
    <w:pPr>
      <w:ind w:left="0"/>
      <w:jc w:val="left"/>
    </w:pPr>
    <w:rPr>
      <w:rFonts w:ascii="PT Sans" w:eastAsia="Times New Roman" w:hAnsi="PT Sans"/>
      <w:sz w:val="16"/>
      <w:szCs w:val="16"/>
      <w:lang w:eastAsia="it-IT"/>
    </w:rPr>
  </w:style>
  <w:style w:type="paragraph" w:customStyle="1" w:styleId="puntielenconumeri">
    <w:name w:val="punti elenco numeri"/>
    <w:rsid w:val="00584D60"/>
    <w:pPr>
      <w:numPr>
        <w:numId w:val="4"/>
      </w:numPr>
      <w:shd w:val="clear" w:color="auto" w:fill="FFFFFF"/>
      <w:spacing w:after="0" w:line="320" w:lineRule="exact"/>
      <w:ind w:left="357" w:hanging="357"/>
      <w:jc w:val="both"/>
    </w:pPr>
    <w:rPr>
      <w:rFonts w:ascii="PT Sans" w:eastAsia="Times New Roman" w:hAnsi="PT Sans" w:cs="Arial"/>
      <w:sz w:val="22"/>
      <w:szCs w:val="22"/>
      <w:lang w:eastAsia="it-IT"/>
    </w:rPr>
  </w:style>
  <w:style w:type="paragraph" w:customStyle="1" w:styleId="Titoloscadenza">
    <w:name w:val="Titolo scadenza"/>
    <w:rsid w:val="00584D60"/>
    <w:pPr>
      <w:spacing w:after="0" w:line="320" w:lineRule="exact"/>
      <w:jc w:val="both"/>
    </w:pPr>
    <w:rPr>
      <w:rFonts w:ascii="PT Sans" w:eastAsia="Times New Roman" w:hAnsi="PT Sans" w:cs="Times New Roman"/>
      <w:b/>
      <w:bCs/>
      <w:color w:val="000000"/>
      <w:sz w:val="22"/>
      <w:szCs w:val="20"/>
      <w:lang w:eastAsia="it-IT"/>
    </w:rPr>
  </w:style>
  <w:style w:type="paragraph" w:customStyle="1" w:styleId="puntoelencolettera">
    <w:name w:val="punto elenco lettera"/>
    <w:basedOn w:val="testopuntoelenco"/>
    <w:qFormat/>
    <w:rsid w:val="00584D60"/>
    <w:pPr>
      <w:numPr>
        <w:numId w:val="5"/>
      </w:numPr>
    </w:pPr>
  </w:style>
  <w:style w:type="paragraph" w:customStyle="1" w:styleId="testotabella10ok">
    <w:name w:val="testo tabella 10 ok"/>
    <w:basedOn w:val="Normale"/>
    <w:uiPriority w:val="5"/>
    <w:qFormat/>
    <w:rsid w:val="00584D60"/>
    <w:pPr>
      <w:spacing w:line="280" w:lineRule="atLeast"/>
      <w:ind w:left="0"/>
    </w:pPr>
    <w:rPr>
      <w:rFonts w:ascii="PT Sans" w:eastAsia="Times New Roman" w:hAnsi="PT Sans"/>
      <w:color w:val="000000"/>
      <w:sz w:val="20"/>
      <w:szCs w:val="20"/>
      <w:lang w:eastAsia="it-IT"/>
    </w:rPr>
  </w:style>
  <w:style w:type="paragraph" w:customStyle="1" w:styleId="testotabella10g">
    <w:name w:val="testo tabella 10 g"/>
    <w:basedOn w:val="testotabella10ok"/>
    <w:uiPriority w:val="5"/>
    <w:qFormat/>
    <w:rsid w:val="00584D60"/>
    <w:pPr>
      <w:jc w:val="center"/>
    </w:pPr>
    <w:rPr>
      <w:b/>
    </w:rPr>
  </w:style>
  <w:style w:type="paragraph" w:customStyle="1" w:styleId="puntielencotabella">
    <w:name w:val="punti elenco tabella"/>
    <w:basedOn w:val="puntielenconumeri"/>
    <w:qFormat/>
    <w:rsid w:val="00584D60"/>
    <w:pPr>
      <w:numPr>
        <w:numId w:val="2"/>
      </w:numPr>
      <w:spacing w:line="280" w:lineRule="atLeast"/>
      <w:ind w:left="357" w:hanging="357"/>
    </w:pPr>
    <w:rPr>
      <w:rFonts w:eastAsia="Calibri"/>
      <w:sz w:val="20"/>
      <w:szCs w:val="20"/>
    </w:rPr>
  </w:style>
  <w:style w:type="paragraph" w:customStyle="1" w:styleId="puntoelencotabellapallino">
    <w:name w:val="punto elenco tabella pallino"/>
    <w:basedOn w:val="testopuntoelenco"/>
    <w:qFormat/>
    <w:rsid w:val="00584D60"/>
    <w:pPr>
      <w:numPr>
        <w:numId w:val="1"/>
      </w:numPr>
      <w:spacing w:line="280" w:lineRule="atLeast"/>
    </w:pPr>
    <w:rPr>
      <w:rFonts w:eastAsia="Calibri"/>
      <w:sz w:val="20"/>
      <w:szCs w:val="20"/>
    </w:rPr>
  </w:style>
  <w:style w:type="paragraph" w:customStyle="1" w:styleId="testotabellapallino">
    <w:name w:val="testo tabella pallino"/>
    <w:basedOn w:val="Normale"/>
    <w:uiPriority w:val="13"/>
    <w:qFormat/>
    <w:rsid w:val="00584D60"/>
    <w:pPr>
      <w:numPr>
        <w:numId w:val="6"/>
      </w:numPr>
      <w:spacing w:line="320" w:lineRule="exact"/>
      <w:jc w:val="left"/>
    </w:pPr>
    <w:rPr>
      <w:rFonts w:ascii="PT Sans" w:eastAsia="Times New Roman" w:hAnsi="PT Sans"/>
      <w:szCs w:val="24"/>
      <w:lang w:eastAsia="it-IT"/>
    </w:rPr>
  </w:style>
  <w:style w:type="character" w:styleId="Enfasicorsivo">
    <w:name w:val="Emphasis"/>
    <w:uiPriority w:val="20"/>
    <w:qFormat/>
    <w:rsid w:val="00584D60"/>
    <w:rPr>
      <w:i/>
      <w:iCs/>
    </w:rPr>
  </w:style>
  <w:style w:type="paragraph" w:customStyle="1" w:styleId="flash5fontenotizianolink">
    <w:name w:val="flash 5 fonte notizia no link"/>
    <w:basedOn w:val="Normale"/>
    <w:uiPriority w:val="1"/>
    <w:rsid w:val="00584D60"/>
    <w:pPr>
      <w:widowControl w:val="0"/>
      <w:autoSpaceDE w:val="0"/>
      <w:autoSpaceDN w:val="0"/>
      <w:adjustRightInd w:val="0"/>
      <w:spacing w:before="20"/>
      <w:ind w:left="0"/>
      <w:jc w:val="right"/>
      <w:textAlignment w:val="center"/>
    </w:pPr>
    <w:rPr>
      <w:rFonts w:ascii="PT Sans" w:eastAsia="Times New Roman" w:hAnsi="PT Sans" w:cs="Calibri-Bold"/>
      <w:bCs/>
      <w:color w:val="000000"/>
      <w:sz w:val="20"/>
      <w:szCs w:val="20"/>
      <w:lang w:eastAsia="it-IT"/>
    </w:rPr>
  </w:style>
  <w:style w:type="table" w:styleId="Grigliatabella">
    <w:name w:val="Table Grid"/>
    <w:basedOn w:val="Tabellanormale"/>
    <w:uiPriority w:val="59"/>
    <w:rsid w:val="00584D60"/>
    <w:pPr>
      <w:spacing w:after="0"/>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tielencoletterea">
    <w:name w:val="punti elenco lettere a)"/>
    <w:basedOn w:val="Normale"/>
    <w:qFormat/>
    <w:rsid w:val="00584D60"/>
    <w:pPr>
      <w:numPr>
        <w:numId w:val="7"/>
      </w:numPr>
      <w:shd w:val="clear" w:color="auto" w:fill="FFFFFF"/>
      <w:spacing w:line="320" w:lineRule="exact"/>
      <w:ind w:left="227" w:hanging="227"/>
    </w:pPr>
    <w:rPr>
      <w:rFonts w:ascii="PT Sans" w:eastAsia="Times New Roman" w:hAnsi="PT Sans" w:cs="Arial"/>
      <w:lang w:eastAsia="it-IT"/>
    </w:rPr>
  </w:style>
  <w:style w:type="paragraph" w:customStyle="1" w:styleId="indice">
    <w:name w:val="indice"/>
    <w:basedOn w:val="Normale"/>
    <w:rsid w:val="00584D60"/>
    <w:pPr>
      <w:spacing w:line="320" w:lineRule="exact"/>
      <w:ind w:left="0" w:right="252"/>
    </w:pPr>
    <w:rPr>
      <w:rFonts w:ascii="PT Sans" w:eastAsia="Times New Roman" w:hAnsi="PT Sans" w:cs="Arial"/>
      <w:lang w:eastAsia="it-IT"/>
    </w:rPr>
  </w:style>
  <w:style w:type="paragraph" w:styleId="Corpotesto">
    <w:name w:val="Body Text"/>
    <w:basedOn w:val="Normale"/>
    <w:link w:val="CorpotestoCarattere"/>
    <w:unhideWhenUsed/>
    <w:rsid w:val="00584D60"/>
    <w:pPr>
      <w:spacing w:after="120"/>
      <w:ind w:left="0"/>
      <w:jc w:val="left"/>
    </w:pPr>
    <w:rPr>
      <w:rFonts w:ascii="Times New Roman" w:eastAsia="Times New Roman" w:hAnsi="Times New Roman"/>
      <w:sz w:val="24"/>
      <w:szCs w:val="24"/>
      <w:lang w:eastAsia="it-IT"/>
    </w:rPr>
  </w:style>
  <w:style w:type="character" w:customStyle="1" w:styleId="CorpotestoCarattere">
    <w:name w:val="Corpo testo Carattere"/>
    <w:basedOn w:val="Carpredefinitoparagrafo"/>
    <w:link w:val="Corpotesto"/>
    <w:rsid w:val="00584D60"/>
    <w:rPr>
      <w:rFonts w:ascii="Times New Roman" w:eastAsia="Times New Roman" w:hAnsi="Times New Roman" w:cs="Times New Roman"/>
      <w:lang w:eastAsia="it-IT"/>
    </w:rPr>
  </w:style>
  <w:style w:type="paragraph" w:customStyle="1" w:styleId="TableParagraph">
    <w:name w:val="Table Paragraph"/>
    <w:basedOn w:val="Normale"/>
    <w:uiPriority w:val="1"/>
    <w:qFormat/>
    <w:rsid w:val="00584D60"/>
    <w:pPr>
      <w:widowControl w:val="0"/>
      <w:autoSpaceDE w:val="0"/>
      <w:autoSpaceDN w:val="0"/>
      <w:adjustRightInd w:val="0"/>
      <w:spacing w:before="52"/>
      <w:ind w:left="110"/>
      <w:jc w:val="left"/>
    </w:pPr>
    <w:rPr>
      <w:rFonts w:ascii="Arial" w:eastAsia="Times New Roman" w:hAnsi="Arial" w:cs="Arial"/>
      <w:sz w:val="24"/>
      <w:szCs w:val="24"/>
      <w:lang w:eastAsia="it-IT"/>
    </w:rPr>
  </w:style>
  <w:style w:type="paragraph" w:customStyle="1" w:styleId="Default">
    <w:name w:val="Default"/>
    <w:rsid w:val="00584D60"/>
    <w:pPr>
      <w:autoSpaceDE w:val="0"/>
      <w:autoSpaceDN w:val="0"/>
      <w:adjustRightInd w:val="0"/>
      <w:spacing w:after="0"/>
    </w:pPr>
    <w:rPr>
      <w:rFonts w:ascii="Verdana" w:eastAsia="Times New Roman" w:hAnsi="Verdana" w:cs="Verdana"/>
      <w:color w:val="000000"/>
      <w:lang w:eastAsia="it-IT"/>
    </w:rPr>
  </w:style>
  <w:style w:type="character" w:styleId="Menzionenonrisolta">
    <w:name w:val="Unresolved Mention"/>
    <w:uiPriority w:val="99"/>
    <w:semiHidden/>
    <w:unhideWhenUsed/>
    <w:rsid w:val="00584D60"/>
    <w:rPr>
      <w:color w:val="605E5C"/>
      <w:shd w:val="clear" w:color="auto" w:fill="E1DFDD"/>
    </w:rPr>
  </w:style>
  <w:style w:type="paragraph" w:styleId="PreformattatoHTML">
    <w:name w:val="HTML Preformatted"/>
    <w:basedOn w:val="Normale"/>
    <w:link w:val="PreformattatoHTMLCarattere"/>
    <w:uiPriority w:val="99"/>
    <w:unhideWhenUsed/>
    <w:rsid w:val="00584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left"/>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584D60"/>
    <w:rPr>
      <w:rFonts w:ascii="Courier New" w:eastAsia="Times New Roman" w:hAnsi="Courier New" w:cs="Courier New"/>
      <w:sz w:val="20"/>
      <w:szCs w:val="20"/>
      <w:lang w:eastAsia="it-IT"/>
    </w:rPr>
  </w:style>
  <w:style w:type="character" w:styleId="Collegamentovisitato">
    <w:name w:val="FollowedHyperlink"/>
    <w:uiPriority w:val="99"/>
    <w:unhideWhenUsed/>
    <w:rsid w:val="00584D60"/>
    <w:rPr>
      <w:color w:val="954F72"/>
      <w:u w:val="single"/>
    </w:rPr>
  </w:style>
  <w:style w:type="paragraph" w:customStyle="1" w:styleId="puntoelencopallino">
    <w:name w:val="punto elenco pallino"/>
    <w:basedOn w:val="Normale"/>
    <w:uiPriority w:val="6"/>
    <w:qFormat/>
    <w:rsid w:val="00584D60"/>
    <w:pPr>
      <w:numPr>
        <w:numId w:val="8"/>
      </w:numPr>
      <w:spacing w:line="360" w:lineRule="auto"/>
    </w:pPr>
    <w:rPr>
      <w:rFonts w:ascii="PT Sans" w:eastAsia="Times New Roman" w:hAnsi="PT Sans"/>
      <w:szCs w:val="20"/>
      <w:lang w:eastAsia="it-IT"/>
    </w:rPr>
  </w:style>
  <w:style w:type="paragraph" w:customStyle="1" w:styleId="sottopuntielenco-">
    <w:name w:val="sottopunti elenco -"/>
    <w:basedOn w:val="Normale"/>
    <w:rsid w:val="00584D60"/>
    <w:pPr>
      <w:numPr>
        <w:ilvl w:val="1"/>
        <w:numId w:val="9"/>
      </w:numPr>
      <w:shd w:val="clear" w:color="auto" w:fill="FFFFFF"/>
      <w:spacing w:line="320" w:lineRule="exact"/>
    </w:pPr>
    <w:rPr>
      <w:rFonts w:ascii="PT Sans" w:eastAsia="Times New Roman" w:hAnsi="PT Sans" w:cs="Arial"/>
      <w:lang w:eastAsia="it-IT"/>
    </w:rPr>
  </w:style>
  <w:style w:type="paragraph" w:customStyle="1" w:styleId="puntoelenco">
    <w:name w:val="punto elenco"/>
    <w:rsid w:val="00584D60"/>
    <w:pPr>
      <w:tabs>
        <w:tab w:val="num" w:pos="227"/>
      </w:tabs>
      <w:spacing w:after="0" w:line="320" w:lineRule="exact"/>
      <w:ind w:left="227" w:hanging="227"/>
      <w:jc w:val="both"/>
    </w:pPr>
    <w:rPr>
      <w:rFonts w:ascii="PT Sans" w:eastAsia="Times New Roman" w:hAnsi="PT Sans" w:cs="Arial"/>
      <w:sz w:val="22"/>
      <w:szCs w:val="22"/>
      <w:lang w:eastAsia="it-IT"/>
    </w:rPr>
  </w:style>
  <w:style w:type="character" w:styleId="Enfasigrassetto">
    <w:name w:val="Strong"/>
    <w:basedOn w:val="Carpredefinitoparagrafo"/>
    <w:uiPriority w:val="22"/>
    <w:qFormat/>
    <w:rsid w:val="00FF7203"/>
    <w:rPr>
      <w:b/>
      <w:bCs/>
    </w:rPr>
  </w:style>
  <w:style w:type="paragraph" w:customStyle="1" w:styleId="abstractarticoli">
    <w:name w:val="abstract  (articoli)"/>
    <w:basedOn w:val="Normale"/>
    <w:rsid w:val="00F00A31"/>
    <w:pPr>
      <w:widowControl w:val="0"/>
      <w:suppressAutoHyphens/>
      <w:autoSpaceDE w:val="0"/>
      <w:autoSpaceDN w:val="0"/>
      <w:adjustRightInd w:val="0"/>
      <w:ind w:left="0"/>
    </w:pPr>
    <w:rPr>
      <w:rFonts w:ascii="PT Sans" w:eastAsia="Times New Roman" w:hAnsi="PT Sans" w:cs="InfoTextOT-Italic"/>
      <w:i/>
      <w:iCs/>
      <w:color w:val="000000"/>
      <w:sz w:val="26"/>
      <w:szCs w:val="26"/>
      <w:lang w:eastAsia="it-IT"/>
    </w:rPr>
  </w:style>
  <w:style w:type="paragraph" w:customStyle="1" w:styleId="Normale1">
    <w:name w:val="Normale1"/>
    <w:rsid w:val="00B20216"/>
    <w:pPr>
      <w:spacing w:after="0" w:line="320" w:lineRule="exact"/>
    </w:pPr>
    <w:rPr>
      <w:rFonts w:ascii="PT Sans" w:eastAsia="ヒラギノ角ゴ Pro W3" w:hAnsi="PT Sans" w:cs="Times New Roman"/>
      <w:color w:val="000000"/>
      <w:szCs w:val="20"/>
      <w:lang w:eastAsia="it-IT"/>
    </w:rPr>
  </w:style>
  <w:style w:type="paragraph" w:styleId="Paragrafoelenco">
    <w:name w:val="List Paragraph"/>
    <w:basedOn w:val="Normale"/>
    <w:uiPriority w:val="34"/>
    <w:qFormat/>
    <w:rsid w:val="00AE14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07978">
      <w:bodyDiv w:val="1"/>
      <w:marLeft w:val="0"/>
      <w:marRight w:val="0"/>
      <w:marTop w:val="0"/>
      <w:marBottom w:val="0"/>
      <w:divBdr>
        <w:top w:val="none" w:sz="0" w:space="0" w:color="auto"/>
        <w:left w:val="none" w:sz="0" w:space="0" w:color="auto"/>
        <w:bottom w:val="none" w:sz="0" w:space="0" w:color="auto"/>
        <w:right w:val="none" w:sz="0" w:space="0" w:color="auto"/>
      </w:divBdr>
    </w:div>
    <w:div w:id="136144652">
      <w:bodyDiv w:val="1"/>
      <w:marLeft w:val="0"/>
      <w:marRight w:val="0"/>
      <w:marTop w:val="0"/>
      <w:marBottom w:val="0"/>
      <w:divBdr>
        <w:top w:val="none" w:sz="0" w:space="0" w:color="auto"/>
        <w:left w:val="none" w:sz="0" w:space="0" w:color="auto"/>
        <w:bottom w:val="none" w:sz="0" w:space="0" w:color="auto"/>
        <w:right w:val="none" w:sz="0" w:space="0" w:color="auto"/>
      </w:divBdr>
    </w:div>
    <w:div w:id="204685517">
      <w:bodyDiv w:val="1"/>
      <w:marLeft w:val="0"/>
      <w:marRight w:val="0"/>
      <w:marTop w:val="0"/>
      <w:marBottom w:val="0"/>
      <w:divBdr>
        <w:top w:val="none" w:sz="0" w:space="0" w:color="auto"/>
        <w:left w:val="none" w:sz="0" w:space="0" w:color="auto"/>
        <w:bottom w:val="none" w:sz="0" w:space="0" w:color="auto"/>
        <w:right w:val="none" w:sz="0" w:space="0" w:color="auto"/>
      </w:divBdr>
      <w:divsChild>
        <w:div w:id="394157852">
          <w:marLeft w:val="0"/>
          <w:marRight w:val="0"/>
          <w:marTop w:val="0"/>
          <w:marBottom w:val="300"/>
          <w:divBdr>
            <w:top w:val="none" w:sz="0" w:space="0" w:color="auto"/>
            <w:left w:val="none" w:sz="0" w:space="0" w:color="auto"/>
            <w:bottom w:val="none" w:sz="0" w:space="0" w:color="auto"/>
            <w:right w:val="none" w:sz="0" w:space="0" w:color="auto"/>
          </w:divBdr>
        </w:div>
        <w:div w:id="1190291153">
          <w:marLeft w:val="0"/>
          <w:marRight w:val="0"/>
          <w:marTop w:val="0"/>
          <w:marBottom w:val="300"/>
          <w:divBdr>
            <w:top w:val="none" w:sz="0" w:space="0" w:color="auto"/>
            <w:left w:val="none" w:sz="0" w:space="0" w:color="auto"/>
            <w:bottom w:val="none" w:sz="0" w:space="0" w:color="auto"/>
            <w:right w:val="none" w:sz="0" w:space="0" w:color="auto"/>
          </w:divBdr>
        </w:div>
        <w:div w:id="198011214">
          <w:marLeft w:val="0"/>
          <w:marRight w:val="0"/>
          <w:marTop w:val="0"/>
          <w:marBottom w:val="300"/>
          <w:divBdr>
            <w:top w:val="none" w:sz="0" w:space="0" w:color="auto"/>
            <w:left w:val="none" w:sz="0" w:space="0" w:color="auto"/>
            <w:bottom w:val="none" w:sz="0" w:space="0" w:color="auto"/>
            <w:right w:val="none" w:sz="0" w:space="0" w:color="auto"/>
          </w:divBdr>
        </w:div>
        <w:div w:id="2030984360">
          <w:marLeft w:val="0"/>
          <w:marRight w:val="0"/>
          <w:marTop w:val="0"/>
          <w:marBottom w:val="300"/>
          <w:divBdr>
            <w:top w:val="none" w:sz="0" w:space="0" w:color="auto"/>
            <w:left w:val="none" w:sz="0" w:space="0" w:color="auto"/>
            <w:bottom w:val="none" w:sz="0" w:space="0" w:color="auto"/>
            <w:right w:val="none" w:sz="0" w:space="0" w:color="auto"/>
          </w:divBdr>
        </w:div>
        <w:div w:id="1234973993">
          <w:marLeft w:val="0"/>
          <w:marRight w:val="0"/>
          <w:marTop w:val="0"/>
          <w:marBottom w:val="300"/>
          <w:divBdr>
            <w:top w:val="none" w:sz="0" w:space="0" w:color="auto"/>
            <w:left w:val="none" w:sz="0" w:space="0" w:color="auto"/>
            <w:bottom w:val="none" w:sz="0" w:space="0" w:color="auto"/>
            <w:right w:val="none" w:sz="0" w:space="0" w:color="auto"/>
          </w:divBdr>
        </w:div>
      </w:divsChild>
    </w:div>
    <w:div w:id="230043774">
      <w:bodyDiv w:val="1"/>
      <w:marLeft w:val="0"/>
      <w:marRight w:val="0"/>
      <w:marTop w:val="0"/>
      <w:marBottom w:val="0"/>
      <w:divBdr>
        <w:top w:val="none" w:sz="0" w:space="0" w:color="auto"/>
        <w:left w:val="none" w:sz="0" w:space="0" w:color="auto"/>
        <w:bottom w:val="none" w:sz="0" w:space="0" w:color="auto"/>
        <w:right w:val="none" w:sz="0" w:space="0" w:color="auto"/>
      </w:divBdr>
      <w:divsChild>
        <w:div w:id="925455772">
          <w:marLeft w:val="0"/>
          <w:marRight w:val="0"/>
          <w:marTop w:val="0"/>
          <w:marBottom w:val="75"/>
          <w:divBdr>
            <w:top w:val="none" w:sz="0" w:space="0" w:color="auto"/>
            <w:left w:val="none" w:sz="0" w:space="0" w:color="auto"/>
            <w:bottom w:val="none" w:sz="0" w:space="0" w:color="auto"/>
            <w:right w:val="none" w:sz="0" w:space="0" w:color="auto"/>
          </w:divBdr>
        </w:div>
        <w:div w:id="1797020191">
          <w:marLeft w:val="0"/>
          <w:marRight w:val="0"/>
          <w:marTop w:val="0"/>
          <w:marBottom w:val="75"/>
          <w:divBdr>
            <w:top w:val="none" w:sz="0" w:space="0" w:color="auto"/>
            <w:left w:val="none" w:sz="0" w:space="0" w:color="auto"/>
            <w:bottom w:val="none" w:sz="0" w:space="0" w:color="auto"/>
            <w:right w:val="none" w:sz="0" w:space="0" w:color="auto"/>
          </w:divBdr>
        </w:div>
        <w:div w:id="1729302729">
          <w:marLeft w:val="0"/>
          <w:marRight w:val="0"/>
          <w:marTop w:val="0"/>
          <w:marBottom w:val="75"/>
          <w:divBdr>
            <w:top w:val="none" w:sz="0" w:space="0" w:color="auto"/>
            <w:left w:val="none" w:sz="0" w:space="0" w:color="auto"/>
            <w:bottom w:val="none" w:sz="0" w:space="0" w:color="auto"/>
            <w:right w:val="none" w:sz="0" w:space="0" w:color="auto"/>
          </w:divBdr>
        </w:div>
        <w:div w:id="2032871197">
          <w:marLeft w:val="0"/>
          <w:marRight w:val="0"/>
          <w:marTop w:val="0"/>
          <w:marBottom w:val="75"/>
          <w:divBdr>
            <w:top w:val="none" w:sz="0" w:space="0" w:color="auto"/>
            <w:left w:val="none" w:sz="0" w:space="0" w:color="auto"/>
            <w:bottom w:val="none" w:sz="0" w:space="0" w:color="auto"/>
            <w:right w:val="none" w:sz="0" w:space="0" w:color="auto"/>
          </w:divBdr>
        </w:div>
      </w:divsChild>
    </w:div>
    <w:div w:id="306205820">
      <w:bodyDiv w:val="1"/>
      <w:marLeft w:val="0"/>
      <w:marRight w:val="0"/>
      <w:marTop w:val="0"/>
      <w:marBottom w:val="0"/>
      <w:divBdr>
        <w:top w:val="none" w:sz="0" w:space="0" w:color="auto"/>
        <w:left w:val="none" w:sz="0" w:space="0" w:color="auto"/>
        <w:bottom w:val="none" w:sz="0" w:space="0" w:color="auto"/>
        <w:right w:val="none" w:sz="0" w:space="0" w:color="auto"/>
      </w:divBdr>
    </w:div>
    <w:div w:id="447315867">
      <w:bodyDiv w:val="1"/>
      <w:marLeft w:val="0"/>
      <w:marRight w:val="0"/>
      <w:marTop w:val="0"/>
      <w:marBottom w:val="0"/>
      <w:divBdr>
        <w:top w:val="none" w:sz="0" w:space="0" w:color="auto"/>
        <w:left w:val="none" w:sz="0" w:space="0" w:color="auto"/>
        <w:bottom w:val="none" w:sz="0" w:space="0" w:color="auto"/>
        <w:right w:val="none" w:sz="0" w:space="0" w:color="auto"/>
      </w:divBdr>
    </w:div>
    <w:div w:id="685711878">
      <w:bodyDiv w:val="1"/>
      <w:marLeft w:val="0"/>
      <w:marRight w:val="0"/>
      <w:marTop w:val="0"/>
      <w:marBottom w:val="0"/>
      <w:divBdr>
        <w:top w:val="none" w:sz="0" w:space="0" w:color="auto"/>
        <w:left w:val="none" w:sz="0" w:space="0" w:color="auto"/>
        <w:bottom w:val="none" w:sz="0" w:space="0" w:color="auto"/>
        <w:right w:val="none" w:sz="0" w:space="0" w:color="auto"/>
      </w:divBdr>
    </w:div>
    <w:div w:id="936598328">
      <w:bodyDiv w:val="1"/>
      <w:marLeft w:val="0"/>
      <w:marRight w:val="0"/>
      <w:marTop w:val="0"/>
      <w:marBottom w:val="0"/>
      <w:divBdr>
        <w:top w:val="none" w:sz="0" w:space="0" w:color="auto"/>
        <w:left w:val="none" w:sz="0" w:space="0" w:color="auto"/>
        <w:bottom w:val="none" w:sz="0" w:space="0" w:color="auto"/>
        <w:right w:val="none" w:sz="0" w:space="0" w:color="auto"/>
      </w:divBdr>
      <w:divsChild>
        <w:div w:id="1207062535">
          <w:marLeft w:val="0"/>
          <w:marRight w:val="0"/>
          <w:marTop w:val="0"/>
          <w:marBottom w:val="0"/>
          <w:divBdr>
            <w:top w:val="none" w:sz="0" w:space="0" w:color="auto"/>
            <w:left w:val="none" w:sz="0" w:space="0" w:color="auto"/>
            <w:bottom w:val="none" w:sz="0" w:space="0" w:color="auto"/>
            <w:right w:val="none" w:sz="0" w:space="0" w:color="auto"/>
          </w:divBdr>
        </w:div>
      </w:divsChild>
    </w:div>
    <w:div w:id="947152424">
      <w:bodyDiv w:val="1"/>
      <w:marLeft w:val="0"/>
      <w:marRight w:val="0"/>
      <w:marTop w:val="0"/>
      <w:marBottom w:val="0"/>
      <w:divBdr>
        <w:top w:val="none" w:sz="0" w:space="0" w:color="auto"/>
        <w:left w:val="none" w:sz="0" w:space="0" w:color="auto"/>
        <w:bottom w:val="none" w:sz="0" w:space="0" w:color="auto"/>
        <w:right w:val="none" w:sz="0" w:space="0" w:color="auto"/>
      </w:divBdr>
      <w:divsChild>
        <w:div w:id="1644432389">
          <w:marLeft w:val="0"/>
          <w:marRight w:val="0"/>
          <w:marTop w:val="0"/>
          <w:marBottom w:val="75"/>
          <w:divBdr>
            <w:top w:val="none" w:sz="0" w:space="0" w:color="auto"/>
            <w:left w:val="none" w:sz="0" w:space="0" w:color="auto"/>
            <w:bottom w:val="none" w:sz="0" w:space="0" w:color="auto"/>
            <w:right w:val="none" w:sz="0" w:space="0" w:color="auto"/>
          </w:divBdr>
        </w:div>
      </w:divsChild>
    </w:div>
    <w:div w:id="1034385680">
      <w:bodyDiv w:val="1"/>
      <w:marLeft w:val="0"/>
      <w:marRight w:val="0"/>
      <w:marTop w:val="0"/>
      <w:marBottom w:val="0"/>
      <w:divBdr>
        <w:top w:val="none" w:sz="0" w:space="0" w:color="auto"/>
        <w:left w:val="none" w:sz="0" w:space="0" w:color="auto"/>
        <w:bottom w:val="none" w:sz="0" w:space="0" w:color="auto"/>
        <w:right w:val="none" w:sz="0" w:space="0" w:color="auto"/>
      </w:divBdr>
      <w:divsChild>
        <w:div w:id="1504667039">
          <w:marLeft w:val="0"/>
          <w:marRight w:val="0"/>
          <w:marTop w:val="0"/>
          <w:marBottom w:val="75"/>
          <w:divBdr>
            <w:top w:val="none" w:sz="0" w:space="0" w:color="auto"/>
            <w:left w:val="none" w:sz="0" w:space="0" w:color="auto"/>
            <w:bottom w:val="none" w:sz="0" w:space="0" w:color="auto"/>
            <w:right w:val="none" w:sz="0" w:space="0" w:color="auto"/>
          </w:divBdr>
        </w:div>
      </w:divsChild>
    </w:div>
    <w:div w:id="1050765598">
      <w:bodyDiv w:val="1"/>
      <w:marLeft w:val="0"/>
      <w:marRight w:val="0"/>
      <w:marTop w:val="0"/>
      <w:marBottom w:val="0"/>
      <w:divBdr>
        <w:top w:val="none" w:sz="0" w:space="0" w:color="auto"/>
        <w:left w:val="none" w:sz="0" w:space="0" w:color="auto"/>
        <w:bottom w:val="none" w:sz="0" w:space="0" w:color="auto"/>
        <w:right w:val="none" w:sz="0" w:space="0" w:color="auto"/>
      </w:divBdr>
      <w:divsChild>
        <w:div w:id="1278487557">
          <w:marLeft w:val="0"/>
          <w:marRight w:val="0"/>
          <w:marTop w:val="0"/>
          <w:marBottom w:val="75"/>
          <w:divBdr>
            <w:top w:val="none" w:sz="0" w:space="0" w:color="auto"/>
            <w:left w:val="none" w:sz="0" w:space="0" w:color="auto"/>
            <w:bottom w:val="none" w:sz="0" w:space="0" w:color="auto"/>
            <w:right w:val="none" w:sz="0" w:space="0" w:color="auto"/>
          </w:divBdr>
        </w:div>
      </w:divsChild>
    </w:div>
    <w:div w:id="1075125726">
      <w:bodyDiv w:val="1"/>
      <w:marLeft w:val="0"/>
      <w:marRight w:val="0"/>
      <w:marTop w:val="0"/>
      <w:marBottom w:val="0"/>
      <w:divBdr>
        <w:top w:val="none" w:sz="0" w:space="0" w:color="auto"/>
        <w:left w:val="none" w:sz="0" w:space="0" w:color="auto"/>
        <w:bottom w:val="none" w:sz="0" w:space="0" w:color="auto"/>
        <w:right w:val="none" w:sz="0" w:space="0" w:color="auto"/>
      </w:divBdr>
      <w:divsChild>
        <w:div w:id="306472445">
          <w:marLeft w:val="0"/>
          <w:marRight w:val="0"/>
          <w:marTop w:val="0"/>
          <w:marBottom w:val="0"/>
          <w:divBdr>
            <w:top w:val="none" w:sz="0" w:space="0" w:color="auto"/>
            <w:left w:val="none" w:sz="0" w:space="0" w:color="auto"/>
            <w:bottom w:val="none" w:sz="0" w:space="0" w:color="auto"/>
            <w:right w:val="none" w:sz="0" w:space="0" w:color="auto"/>
          </w:divBdr>
        </w:div>
      </w:divsChild>
    </w:div>
    <w:div w:id="1136872241">
      <w:bodyDiv w:val="1"/>
      <w:marLeft w:val="0"/>
      <w:marRight w:val="0"/>
      <w:marTop w:val="0"/>
      <w:marBottom w:val="0"/>
      <w:divBdr>
        <w:top w:val="none" w:sz="0" w:space="0" w:color="auto"/>
        <w:left w:val="none" w:sz="0" w:space="0" w:color="auto"/>
        <w:bottom w:val="none" w:sz="0" w:space="0" w:color="auto"/>
        <w:right w:val="none" w:sz="0" w:space="0" w:color="auto"/>
      </w:divBdr>
      <w:divsChild>
        <w:div w:id="754673365">
          <w:marLeft w:val="0"/>
          <w:marRight w:val="0"/>
          <w:marTop w:val="0"/>
          <w:marBottom w:val="75"/>
          <w:divBdr>
            <w:top w:val="none" w:sz="0" w:space="0" w:color="auto"/>
            <w:left w:val="none" w:sz="0" w:space="0" w:color="auto"/>
            <w:bottom w:val="none" w:sz="0" w:space="0" w:color="auto"/>
            <w:right w:val="none" w:sz="0" w:space="0" w:color="auto"/>
          </w:divBdr>
        </w:div>
      </w:divsChild>
    </w:div>
    <w:div w:id="1141072098">
      <w:bodyDiv w:val="1"/>
      <w:marLeft w:val="0"/>
      <w:marRight w:val="0"/>
      <w:marTop w:val="0"/>
      <w:marBottom w:val="0"/>
      <w:divBdr>
        <w:top w:val="none" w:sz="0" w:space="0" w:color="auto"/>
        <w:left w:val="none" w:sz="0" w:space="0" w:color="auto"/>
        <w:bottom w:val="none" w:sz="0" w:space="0" w:color="auto"/>
        <w:right w:val="none" w:sz="0" w:space="0" w:color="auto"/>
      </w:divBdr>
    </w:div>
    <w:div w:id="1143039469">
      <w:bodyDiv w:val="1"/>
      <w:marLeft w:val="0"/>
      <w:marRight w:val="0"/>
      <w:marTop w:val="0"/>
      <w:marBottom w:val="0"/>
      <w:divBdr>
        <w:top w:val="none" w:sz="0" w:space="0" w:color="auto"/>
        <w:left w:val="none" w:sz="0" w:space="0" w:color="auto"/>
        <w:bottom w:val="none" w:sz="0" w:space="0" w:color="auto"/>
        <w:right w:val="none" w:sz="0" w:space="0" w:color="auto"/>
      </w:divBdr>
    </w:div>
    <w:div w:id="1275404514">
      <w:bodyDiv w:val="1"/>
      <w:marLeft w:val="0"/>
      <w:marRight w:val="0"/>
      <w:marTop w:val="0"/>
      <w:marBottom w:val="0"/>
      <w:divBdr>
        <w:top w:val="none" w:sz="0" w:space="0" w:color="auto"/>
        <w:left w:val="none" w:sz="0" w:space="0" w:color="auto"/>
        <w:bottom w:val="none" w:sz="0" w:space="0" w:color="auto"/>
        <w:right w:val="none" w:sz="0" w:space="0" w:color="auto"/>
      </w:divBdr>
    </w:div>
    <w:div w:id="1834879510">
      <w:bodyDiv w:val="1"/>
      <w:marLeft w:val="0"/>
      <w:marRight w:val="0"/>
      <w:marTop w:val="0"/>
      <w:marBottom w:val="0"/>
      <w:divBdr>
        <w:top w:val="none" w:sz="0" w:space="0" w:color="auto"/>
        <w:left w:val="none" w:sz="0" w:space="0" w:color="auto"/>
        <w:bottom w:val="none" w:sz="0" w:space="0" w:color="auto"/>
        <w:right w:val="none" w:sz="0" w:space="0" w:color="auto"/>
      </w:divBdr>
    </w:div>
    <w:div w:id="1863737755">
      <w:bodyDiv w:val="1"/>
      <w:marLeft w:val="0"/>
      <w:marRight w:val="0"/>
      <w:marTop w:val="0"/>
      <w:marBottom w:val="0"/>
      <w:divBdr>
        <w:top w:val="none" w:sz="0" w:space="0" w:color="auto"/>
        <w:left w:val="none" w:sz="0" w:space="0" w:color="auto"/>
        <w:bottom w:val="none" w:sz="0" w:space="0" w:color="auto"/>
        <w:right w:val="none" w:sz="0" w:space="0" w:color="auto"/>
      </w:divBdr>
    </w:div>
    <w:div w:id="1985817681">
      <w:bodyDiv w:val="1"/>
      <w:marLeft w:val="0"/>
      <w:marRight w:val="0"/>
      <w:marTop w:val="0"/>
      <w:marBottom w:val="0"/>
      <w:divBdr>
        <w:top w:val="none" w:sz="0" w:space="0" w:color="auto"/>
        <w:left w:val="none" w:sz="0" w:space="0" w:color="auto"/>
        <w:bottom w:val="none" w:sz="0" w:space="0" w:color="auto"/>
        <w:right w:val="none" w:sz="0" w:space="0" w:color="auto"/>
      </w:divBdr>
      <w:divsChild>
        <w:div w:id="1304386179">
          <w:marLeft w:val="0"/>
          <w:marRight w:val="0"/>
          <w:marTop w:val="0"/>
          <w:marBottom w:val="75"/>
          <w:divBdr>
            <w:top w:val="none" w:sz="0" w:space="0" w:color="auto"/>
            <w:left w:val="none" w:sz="0" w:space="0" w:color="auto"/>
            <w:bottom w:val="none" w:sz="0" w:space="0" w:color="auto"/>
            <w:right w:val="none" w:sz="0" w:space="0" w:color="auto"/>
          </w:divBdr>
        </w:div>
      </w:divsChild>
    </w:div>
    <w:div w:id="2139952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noFill/>
        <a:ln w="6350">
          <a:no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FCB30F056F4345A0844739C6D35E15" ma:contentTypeVersion="14" ma:contentTypeDescription="Create a new document." ma:contentTypeScope="" ma:versionID="7bec546c5b1fb4546f9dc005b557de01">
  <xsd:schema xmlns:xsd="http://www.w3.org/2001/XMLSchema" xmlns:xs="http://www.w3.org/2001/XMLSchema" xmlns:p="http://schemas.microsoft.com/office/2006/metadata/properties" xmlns:ns2="823fdf7b-e0eb-4db5-8499-d2380c229cb1" xmlns:ns3="c98d467d-1f38-4a35-a4fd-b003e6be3404" targetNamespace="http://schemas.microsoft.com/office/2006/metadata/properties" ma:root="true" ma:fieldsID="f7caf9191a22df1dc37d9e11ebcbba5f" ns2:_="" ns3:_="">
    <xsd:import namespace="823fdf7b-e0eb-4db5-8499-d2380c229cb1"/>
    <xsd:import namespace="c98d467d-1f38-4a35-a4fd-b003e6be34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3fdf7b-e0eb-4db5-8499-d2380c229c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576eaef-0544-466b-9432-2b350550ee9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8d467d-1f38-4a35-a4fd-b003e6be340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23fdf7b-e0eb-4db5-8499-d2380c229cb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5967D-6B6F-41B2-BBF6-01AC76FD92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3fdf7b-e0eb-4db5-8499-d2380c229cb1"/>
    <ds:schemaRef ds:uri="c98d467d-1f38-4a35-a4fd-b003e6be3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882A8F-ECCB-43F9-B888-F348950A5392}">
  <ds:schemaRefs>
    <ds:schemaRef ds:uri="http://schemas.microsoft.com/office/2006/metadata/properties"/>
    <ds:schemaRef ds:uri="http://schemas.microsoft.com/office/infopath/2007/PartnerControls"/>
    <ds:schemaRef ds:uri="823fdf7b-e0eb-4db5-8499-d2380c229cb1"/>
  </ds:schemaRefs>
</ds:datastoreItem>
</file>

<file path=customXml/itemProps3.xml><?xml version="1.0" encoding="utf-8"?>
<ds:datastoreItem xmlns:ds="http://schemas.openxmlformats.org/officeDocument/2006/customXml" ds:itemID="{65C140C4-A855-4F31-9B7D-A06DFDC5B3AE}">
  <ds:schemaRefs>
    <ds:schemaRef ds:uri="http://schemas.microsoft.com/sharepoint/v3/contenttype/forms"/>
  </ds:schemaRefs>
</ds:datastoreItem>
</file>

<file path=customXml/itemProps4.xml><?xml version="1.0" encoding="utf-8"?>
<ds:datastoreItem xmlns:ds="http://schemas.openxmlformats.org/officeDocument/2006/customXml" ds:itemID="{F52683F6-3BB5-48A7-919A-6B9FEB850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10</Pages>
  <Words>3651</Words>
  <Characters>20814</Characters>
  <Application>Microsoft Office Word</Application>
  <DocSecurity>8</DocSecurity>
  <Lines>173</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dc:creator>
  <cp:keywords/>
  <dc:description/>
  <cp:lastModifiedBy>Alessandra - Studio Dafe</cp:lastModifiedBy>
  <cp:revision>82</cp:revision>
  <cp:lastPrinted>2025-11-03T10:28:00Z</cp:lastPrinted>
  <dcterms:created xsi:type="dcterms:W3CDTF">2026-04-17T15:22:00Z</dcterms:created>
  <dcterms:modified xsi:type="dcterms:W3CDTF">2026-06-01T16:13:00Z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0x010100DAFCB30F056F4345A0844739C6D35E15</vt:lpwstr>
  </property>
  <property fmtid="{D5CDD505-2E9C-101B-9397-08002B2CF9AE}" pid="3" name="MediaServiceImageTags">
    <vt:lpwstr/>
  </property>
</Properties>
</file>