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4B34" w14:textId="77777777" w:rsidR="00256ECC" w:rsidRPr="00256ECC" w:rsidRDefault="00256ECC" w:rsidP="00256ECC">
      <w:pPr>
        <w:spacing w:before="100" w:beforeAutospacing="1" w:after="100" w:afterAutospacing="1"/>
        <w:ind w:left="0"/>
        <w:rPr>
          <w:rFonts w:ascii="Arial" w:eastAsia="Times New Roman" w:hAnsi="Arial" w:cs="Arial"/>
          <w:sz w:val="24"/>
          <w:szCs w:val="24"/>
          <w:lang w:eastAsia="it-IT"/>
        </w:rPr>
      </w:pPr>
      <w:bookmarkStart w:id="0" w:name="_Hlk83196558"/>
      <w:r w:rsidRPr="00256ECC">
        <w:rPr>
          <w:rFonts w:ascii="Arial" w:eastAsia="Times New Roman" w:hAnsi="Arial" w:cs="Arial"/>
          <w:sz w:val="24"/>
          <w:szCs w:val="24"/>
          <w:lang w:eastAsia="it-IT"/>
        </w:rPr>
        <w:t>Con la presente circolare si riepilogano alcune recenti novità operative di interesse per aziende e datori di lavoro, con particolare riferimento alla gestione degli adempimenti contributivi, assicurativi e amministrativi.</w:t>
      </w:r>
    </w:p>
    <w:p w14:paraId="3B97EAA0" w14:textId="77777777" w:rsidR="00256ECC" w:rsidRPr="00256ECC" w:rsidRDefault="00256ECC" w:rsidP="00256ECC">
      <w:pPr>
        <w:spacing w:before="100" w:beforeAutospacing="1" w:after="100" w:afterAutospacing="1"/>
        <w:ind w:left="0"/>
        <w:rPr>
          <w:rFonts w:ascii="Arial" w:eastAsia="Times New Roman" w:hAnsi="Arial" w:cs="Arial"/>
          <w:sz w:val="24"/>
          <w:szCs w:val="24"/>
          <w:lang w:eastAsia="it-IT"/>
        </w:rPr>
      </w:pPr>
      <w:r w:rsidRPr="00256ECC">
        <w:rPr>
          <w:rFonts w:ascii="Arial" w:eastAsia="Times New Roman" w:hAnsi="Arial" w:cs="Arial"/>
          <w:sz w:val="24"/>
          <w:szCs w:val="24"/>
          <w:lang w:eastAsia="it-IT"/>
        </w:rPr>
        <w:t>In particolare, vengono illustrate le nuove discipline in materia di rateizzazione dei debiti INAIL e INPS, le indicazioni relative al versamento al Fondo di Tesoreria INPS, i chiarimenti sulla certificazione medica di infortunio e sulla ripresa del lavoro, nonché le novità introdotte dall’Agenzia delle Entrate per il servizio Civis.</w:t>
      </w:r>
    </w:p>
    <w:p w14:paraId="4EEA3CE3" w14:textId="0C676781" w:rsidR="001C7C1C" w:rsidRPr="00453F23" w:rsidRDefault="00514F28" w:rsidP="00453F23">
      <w:pPr>
        <w:pStyle w:val="Paragrafoelenco"/>
        <w:numPr>
          <w:ilvl w:val="0"/>
          <w:numId w:val="36"/>
        </w:numPr>
        <w:spacing w:before="100" w:beforeAutospacing="1" w:after="100" w:afterAutospacing="1"/>
        <w:rPr>
          <w:rFonts w:ascii="Arial" w:eastAsia="Times New Roman" w:hAnsi="Arial" w:cs="Arial"/>
          <w:b/>
          <w:bCs/>
          <w:color w:val="0070C0"/>
          <w:sz w:val="24"/>
          <w:szCs w:val="24"/>
          <w:lang w:eastAsia="it-IT"/>
        </w:rPr>
      </w:pPr>
      <w:r w:rsidRPr="00453F23">
        <w:rPr>
          <w:rFonts w:ascii="Arial" w:eastAsia="Times New Roman" w:hAnsi="Arial" w:cs="Arial"/>
          <w:b/>
          <w:bCs/>
          <w:color w:val="0070C0"/>
          <w:sz w:val="24"/>
          <w:szCs w:val="24"/>
          <w:lang w:eastAsia="it-IT"/>
        </w:rPr>
        <w:t>NUOVA R</w:t>
      </w:r>
      <w:r w:rsidR="00C13A8C">
        <w:rPr>
          <w:rFonts w:ascii="Arial" w:eastAsia="Times New Roman" w:hAnsi="Arial" w:cs="Arial"/>
          <w:b/>
          <w:bCs/>
          <w:color w:val="0070C0"/>
          <w:sz w:val="24"/>
          <w:szCs w:val="24"/>
          <w:lang w:eastAsia="it-IT"/>
        </w:rPr>
        <w:t>A</w:t>
      </w:r>
      <w:r w:rsidRPr="00453F23">
        <w:rPr>
          <w:rFonts w:ascii="Arial" w:eastAsia="Times New Roman" w:hAnsi="Arial" w:cs="Arial"/>
          <w:b/>
          <w:bCs/>
          <w:color w:val="0070C0"/>
          <w:sz w:val="24"/>
          <w:szCs w:val="24"/>
          <w:lang w:eastAsia="it-IT"/>
        </w:rPr>
        <w:t>T</w:t>
      </w:r>
      <w:r w:rsidR="00256ECC">
        <w:rPr>
          <w:rFonts w:ascii="Arial" w:eastAsia="Times New Roman" w:hAnsi="Arial" w:cs="Arial"/>
          <w:b/>
          <w:bCs/>
          <w:color w:val="0070C0"/>
          <w:sz w:val="24"/>
          <w:szCs w:val="24"/>
          <w:lang w:eastAsia="it-IT"/>
        </w:rPr>
        <w:t>E</w:t>
      </w:r>
      <w:r w:rsidR="00C13A8C">
        <w:rPr>
          <w:rFonts w:ascii="Arial" w:eastAsia="Times New Roman" w:hAnsi="Arial" w:cs="Arial"/>
          <w:b/>
          <w:bCs/>
          <w:color w:val="0070C0"/>
          <w:sz w:val="24"/>
          <w:szCs w:val="24"/>
          <w:lang w:eastAsia="it-IT"/>
        </w:rPr>
        <w:t>IZZ</w:t>
      </w:r>
      <w:r w:rsidR="00256ECC">
        <w:rPr>
          <w:rFonts w:ascii="Arial" w:eastAsia="Times New Roman" w:hAnsi="Arial" w:cs="Arial"/>
          <w:b/>
          <w:bCs/>
          <w:color w:val="0070C0"/>
          <w:sz w:val="24"/>
          <w:szCs w:val="24"/>
          <w:lang w:eastAsia="it-IT"/>
        </w:rPr>
        <w:t xml:space="preserve">AZIONE </w:t>
      </w:r>
      <w:r w:rsidRPr="00453F23">
        <w:rPr>
          <w:rFonts w:ascii="Arial" w:eastAsia="Times New Roman" w:hAnsi="Arial" w:cs="Arial"/>
          <w:b/>
          <w:bCs/>
          <w:color w:val="0070C0"/>
          <w:sz w:val="24"/>
          <w:szCs w:val="24"/>
          <w:lang w:eastAsia="it-IT"/>
        </w:rPr>
        <w:t>INAIL</w:t>
      </w:r>
    </w:p>
    <w:p w14:paraId="114E7B62" w14:textId="77777777" w:rsidR="0047727F" w:rsidRPr="0047727F" w:rsidRDefault="0047727F" w:rsidP="00026059">
      <w:pPr>
        <w:spacing w:before="100" w:beforeAutospacing="1" w:after="100" w:afterAutospacing="1"/>
        <w:ind w:left="0"/>
        <w:rPr>
          <w:rFonts w:ascii="Arial" w:eastAsia="Times New Roman" w:hAnsi="Arial" w:cs="Arial"/>
          <w:sz w:val="24"/>
          <w:szCs w:val="24"/>
          <w:lang w:eastAsia="it-IT"/>
        </w:rPr>
      </w:pPr>
      <w:r w:rsidRPr="0047727F">
        <w:rPr>
          <w:rFonts w:ascii="Arial" w:eastAsia="Times New Roman" w:hAnsi="Arial" w:cs="Arial"/>
          <w:sz w:val="24"/>
          <w:szCs w:val="24"/>
          <w:lang w:eastAsia="it-IT"/>
        </w:rPr>
        <w:t>L’INAIL, con la circolare n. 19 dell’8 maggio 2026, ha fornito le istruzioni operative sulla nuova disciplina delle rateazioni dei debiti per premi e accessori non iscritti a ruolo, approvata con delibera del Consiglio di amministrazione INAIL n. 2 del 15 gennaio 2026, come modificata dalla delibera n. 57 del 30 aprile 2026, in attuazione dell’articolo 23, comma 1, della Legge n. 203/2024.</w:t>
      </w:r>
    </w:p>
    <w:p w14:paraId="167F3893" w14:textId="15F5C9E1"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La nuova disciplina consente ai datori di lavoro che si trovano in una temporanea situazione di obiettiva difficoltà economico-finanziaria di richiedere il pagamento rateale dei debiti nei confronti dell’Istituto. Sono previste due diverse tipologie di dilazione:</w:t>
      </w:r>
    </w:p>
    <w:p w14:paraId="29AA1581" w14:textId="77777777" w:rsidR="001C7C1C" w:rsidRPr="00514F28" w:rsidRDefault="001C7C1C" w:rsidP="001C7C1C">
      <w:pPr>
        <w:numPr>
          <w:ilvl w:val="0"/>
          <w:numId w:val="28"/>
        </w:numPr>
        <w:spacing w:before="100" w:beforeAutospacing="1" w:after="100" w:afterAutospacing="1"/>
        <w:jc w:val="left"/>
        <w:rPr>
          <w:rFonts w:ascii="Arial" w:eastAsia="Times New Roman" w:hAnsi="Arial" w:cs="Arial"/>
          <w:sz w:val="24"/>
          <w:szCs w:val="24"/>
          <w:lang w:eastAsia="it-IT"/>
        </w:rPr>
      </w:pPr>
      <w:r w:rsidRPr="00514F28">
        <w:rPr>
          <w:rFonts w:ascii="Arial" w:eastAsia="Times New Roman" w:hAnsi="Arial" w:cs="Arial"/>
          <w:sz w:val="24"/>
          <w:szCs w:val="24"/>
          <w:lang w:eastAsia="it-IT"/>
        </w:rPr>
        <w:t>per importi fino a 500.000 euro, fino a un massimo di 36 rate mensili;</w:t>
      </w:r>
    </w:p>
    <w:p w14:paraId="7D07AEE1" w14:textId="77777777" w:rsidR="001C7C1C" w:rsidRPr="00514F28" w:rsidRDefault="001C7C1C" w:rsidP="001C7C1C">
      <w:pPr>
        <w:numPr>
          <w:ilvl w:val="0"/>
          <w:numId w:val="28"/>
        </w:numPr>
        <w:spacing w:before="100" w:beforeAutospacing="1" w:after="100" w:afterAutospacing="1"/>
        <w:jc w:val="left"/>
        <w:rPr>
          <w:rFonts w:ascii="Arial" w:eastAsia="Times New Roman" w:hAnsi="Arial" w:cs="Arial"/>
          <w:sz w:val="24"/>
          <w:szCs w:val="24"/>
          <w:lang w:eastAsia="it-IT"/>
        </w:rPr>
      </w:pPr>
      <w:r w:rsidRPr="00514F28">
        <w:rPr>
          <w:rFonts w:ascii="Arial" w:eastAsia="Times New Roman" w:hAnsi="Arial" w:cs="Arial"/>
          <w:sz w:val="24"/>
          <w:szCs w:val="24"/>
          <w:lang w:eastAsia="it-IT"/>
        </w:rPr>
        <w:t>per importi superiori a 500.000 euro, fino a un massimo di 60 rate mensili.</w:t>
      </w:r>
    </w:p>
    <w:p w14:paraId="2ACCF6B5"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La rateazione può riguardare i debiti per premi e accessori dovuti a titolo di omissione o evasione, purché non iscritti a ruolo. Restano pertanto esclusi i debiti già affidati agli agenti della riscossione. Considerata la specificità dell’autoliquidazione INAIL, possono essere rateizzati anche i debiti contributivi correnti, per i quali non è ancora scaduto il termine di pagamento, a condizione che l’istanza sia presentata prima della scadenza prevista.</w:t>
      </w:r>
    </w:p>
    <w:p w14:paraId="14215918"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La domanda deve essere presentata tramite il servizio telematico “Istanza di rateazione” disponibile sul sito INAIL, anche per il tramite di un intermediario delegato. Nell’istanza devono essere indicati l’importo da rateizzare, il numero delle rate mensili richieste e la natura del debito, distinguendo tra debiti scaduti e debiti correnti.</w:t>
      </w:r>
    </w:p>
    <w:p w14:paraId="5E63B14D"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L’accoglimento della domanda è subordinato, tra l’altro, alla richiesta di rateazione di tutti i debiti accertati alla data dell’istanza, all’assenza di più di una rateazione già in corso, alla mancata revoca di una precedente rateazione nei 6 mesi anteriori e al rispetto dell’importo minimo della singola rata, pari a 150 euro comprensivi di interessi.</w:t>
      </w:r>
    </w:p>
    <w:p w14:paraId="3195D108"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Il debitore deve inoltre dichiarare la sussistenza di una temporanea situazione di obiettiva difficoltà economica e riconoscere espressamente e incondizionatamente il debito per premi ed eventuali accessori, rinunciando alle eccezioni che possano incidere sull’esistenza e azionabilità del credito INAIL.</w:t>
      </w:r>
    </w:p>
    <w:p w14:paraId="5B80F59F"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lastRenderedPageBreak/>
        <w:t>L’istanza è definita con provvedimento motivato di accoglimento o rigetto. In caso di accoglimento, la rateazione si perfeziona con il pagamento della prima rata entro il termine indicato dall’Istituto nel piano di ammortamento. Il procedimento amministrativo si conclude entro 15 giorni dalla presentazione della domanda e il provvedimento di concessione, comprensivo del piano di ammortamento, è emesso entro 10 giorni.</w:t>
      </w:r>
    </w:p>
    <w:p w14:paraId="7D5BCD2B"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Sulle somme rateizzate si applica un tasso di interesse pari al tasso minimo di partecipazione per le operazioni di rifinanziamento principale dell’eurosistema, fissato dalla BCE e vigente alla data di presentazione dell’istanza.</w:t>
      </w:r>
    </w:p>
    <w:p w14:paraId="45DAE6DA"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L’omesso o parziale pagamento della prima rata comporta l’annullamento della rateazione e la richiesta di pagamento integrale del debito, che non potrà essere oggetto di una nuova istanza. L’omesso o parziale pagamento di 3 rate, anche non consecutive, successive alla prima determina invece la revoca della rateazione e il recupero del debito residuo.</w:t>
      </w:r>
    </w:p>
    <w:p w14:paraId="79D71953" w14:textId="77777777" w:rsidR="001C7C1C" w:rsidRPr="00026059" w:rsidRDefault="001C7C1C" w:rsidP="00026059">
      <w:pPr>
        <w:spacing w:before="100" w:beforeAutospacing="1" w:after="100" w:afterAutospacing="1"/>
        <w:ind w:left="0"/>
        <w:rPr>
          <w:rFonts w:ascii="Arial" w:eastAsia="Times New Roman" w:hAnsi="Arial" w:cs="Arial"/>
          <w:sz w:val="24"/>
          <w:szCs w:val="24"/>
          <w:lang w:eastAsia="it-IT"/>
        </w:rPr>
      </w:pPr>
      <w:r w:rsidRPr="00026059">
        <w:rPr>
          <w:rFonts w:ascii="Arial" w:eastAsia="Times New Roman" w:hAnsi="Arial" w:cs="Arial"/>
          <w:sz w:val="24"/>
          <w:szCs w:val="24"/>
          <w:lang w:eastAsia="it-IT"/>
        </w:rPr>
        <w:t>La nuova disciplina si applica alle istanze presentate successivamente alla data di pubblicazione della circolare sul sito istituzionale dell’INAIL e sostituisce le precedenti disposizioni in materia di rateazione dei debiti per premi e accessori.</w:t>
      </w:r>
    </w:p>
    <w:p w14:paraId="6B3008D1" w14:textId="4362B237" w:rsidR="0088303E" w:rsidRPr="00453F23" w:rsidRDefault="00514F28" w:rsidP="00453F23">
      <w:pPr>
        <w:pStyle w:val="Paragrafoelenco"/>
        <w:numPr>
          <w:ilvl w:val="0"/>
          <w:numId w:val="36"/>
        </w:numPr>
        <w:spacing w:before="100" w:beforeAutospacing="1" w:after="100" w:afterAutospacing="1"/>
        <w:rPr>
          <w:rFonts w:ascii="Arial" w:eastAsia="Times New Roman" w:hAnsi="Arial" w:cs="Arial"/>
          <w:color w:val="0070C0"/>
          <w:sz w:val="24"/>
          <w:szCs w:val="24"/>
          <w:lang w:eastAsia="it-IT"/>
        </w:rPr>
      </w:pPr>
      <w:r w:rsidRPr="00453F23">
        <w:rPr>
          <w:rFonts w:ascii="Arial" w:eastAsia="Times New Roman" w:hAnsi="Arial" w:cs="Arial"/>
          <w:b/>
          <w:bCs/>
          <w:color w:val="0070C0"/>
          <w:sz w:val="24"/>
          <w:szCs w:val="24"/>
          <w:lang w:eastAsia="it-IT"/>
        </w:rPr>
        <w:t>NUOVA RAT</w:t>
      </w:r>
      <w:r w:rsidR="00182363">
        <w:rPr>
          <w:rFonts w:ascii="Arial" w:eastAsia="Times New Roman" w:hAnsi="Arial" w:cs="Arial"/>
          <w:b/>
          <w:bCs/>
          <w:color w:val="0070C0"/>
          <w:sz w:val="24"/>
          <w:szCs w:val="24"/>
          <w:lang w:eastAsia="it-IT"/>
        </w:rPr>
        <w:t>I</w:t>
      </w:r>
      <w:r w:rsidRPr="00453F23">
        <w:rPr>
          <w:rFonts w:ascii="Arial" w:eastAsia="Times New Roman" w:hAnsi="Arial" w:cs="Arial"/>
          <w:b/>
          <w:bCs/>
          <w:color w:val="0070C0"/>
          <w:sz w:val="24"/>
          <w:szCs w:val="24"/>
          <w:lang w:eastAsia="it-IT"/>
        </w:rPr>
        <w:t>E</w:t>
      </w:r>
      <w:r w:rsidR="00182363">
        <w:rPr>
          <w:rFonts w:ascii="Arial" w:eastAsia="Times New Roman" w:hAnsi="Arial" w:cs="Arial"/>
          <w:b/>
          <w:bCs/>
          <w:color w:val="0070C0"/>
          <w:sz w:val="24"/>
          <w:szCs w:val="24"/>
          <w:lang w:eastAsia="it-IT"/>
        </w:rPr>
        <w:t>ZZ</w:t>
      </w:r>
      <w:r w:rsidRPr="00453F23">
        <w:rPr>
          <w:rFonts w:ascii="Arial" w:eastAsia="Times New Roman" w:hAnsi="Arial" w:cs="Arial"/>
          <w:b/>
          <w:bCs/>
          <w:color w:val="0070C0"/>
          <w:sz w:val="24"/>
          <w:szCs w:val="24"/>
          <w:lang w:eastAsia="it-IT"/>
        </w:rPr>
        <w:t>AZIONE INPS</w:t>
      </w:r>
    </w:p>
    <w:p w14:paraId="2CCF34BC" w14:textId="29B82126" w:rsidR="0088303E" w:rsidRPr="0088303E" w:rsidRDefault="001432F9" w:rsidP="0088303E">
      <w:pPr>
        <w:spacing w:before="100" w:beforeAutospacing="1" w:after="100" w:afterAutospacing="1"/>
        <w:ind w:left="0"/>
        <w:rPr>
          <w:rFonts w:ascii="Arial" w:eastAsia="Times New Roman" w:hAnsi="Arial" w:cs="Arial"/>
          <w:sz w:val="24"/>
          <w:szCs w:val="24"/>
          <w:lang w:eastAsia="it-IT"/>
        </w:rPr>
      </w:pPr>
      <w:r w:rsidRPr="001432F9">
        <w:rPr>
          <w:rFonts w:ascii="Arial" w:eastAsia="Times New Roman" w:hAnsi="Arial" w:cs="Arial"/>
          <w:sz w:val="24"/>
          <w:szCs w:val="24"/>
          <w:lang w:eastAsia="it-IT"/>
        </w:rPr>
        <w:t>L’INPS, con circolare n. 60 del 21 maggio 2026, ha illustrato il nuovo Regolamento in materia di rateizzazione dei debiti contributivi, adottato in attuazione dell’articolo 23 della Legge n. 203/2024 e applicabile alle domande di dilazione presentate dal 21 maggio 2026</w:t>
      </w:r>
      <w:r>
        <w:t>.</w:t>
      </w:r>
      <w:r w:rsidR="0088303E" w:rsidRPr="0088303E">
        <w:rPr>
          <w:rFonts w:ascii="Arial" w:eastAsia="Times New Roman" w:hAnsi="Arial" w:cs="Arial"/>
          <w:sz w:val="24"/>
          <w:szCs w:val="24"/>
          <w:lang w:eastAsia="it-IT"/>
        </w:rPr>
        <w:t xml:space="preserve"> La disciplina sostituisce la precedente e introduce una maggiore autonomia dell’Istituto nella concessione di piani di pagamento fino a 60 rate, senza necessità di autorizzazione ministeriale.</w:t>
      </w:r>
    </w:p>
    <w:p w14:paraId="2426DF0C"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Le nuove regole si applicano anche alle domande presentate dal 12 gennaio 2025 e ancora in corso al 21 maggio 2026. In tali casi, i contribuenti possono richiedere la rideterminazione del numero delle rate entro 30 giorni dalla pubblicazione della circolare, tramite “Comunicazione Bidirezionale” del Cassetto Previdenziale.</w:t>
      </w:r>
    </w:p>
    <w:p w14:paraId="0247A588"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La rateazione può riguardare debiti per contributi dovuti a titolo di omissione o evasione, sanzioni civili e somme ancora in fase amministrativa, non ancora oggetto di avviso di addebito. Possono essere dilazionati anche i debiti derivanti da accertamenti ispettivi o amministrativi, comunicazioni di compliance e comunicazioni di addebito conseguenti ad attività di controllo dell’Istituto.</w:t>
      </w:r>
    </w:p>
    <w:p w14:paraId="11A6018A"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La durata massima della dilazione è pari a:</w:t>
      </w:r>
    </w:p>
    <w:p w14:paraId="2895C847" w14:textId="77777777" w:rsidR="0088303E" w:rsidRPr="0088303E" w:rsidRDefault="0088303E" w:rsidP="0088303E">
      <w:pPr>
        <w:numPr>
          <w:ilvl w:val="0"/>
          <w:numId w:val="29"/>
        </w:numPr>
        <w:spacing w:before="100" w:beforeAutospacing="1" w:after="100" w:afterAutospacing="1"/>
        <w:jc w:val="left"/>
        <w:rPr>
          <w:rFonts w:ascii="Arial" w:eastAsia="Times New Roman" w:hAnsi="Arial" w:cs="Arial"/>
          <w:sz w:val="24"/>
          <w:szCs w:val="24"/>
          <w:lang w:eastAsia="it-IT"/>
        </w:rPr>
      </w:pPr>
      <w:r w:rsidRPr="0088303E">
        <w:rPr>
          <w:rFonts w:ascii="Arial" w:eastAsia="Times New Roman" w:hAnsi="Arial" w:cs="Arial"/>
          <w:sz w:val="24"/>
          <w:szCs w:val="24"/>
          <w:lang w:eastAsia="it-IT"/>
        </w:rPr>
        <w:t>36 rate mensili per debiti fino a 500.000 euro, comprensivi di contributi e sanzioni;</w:t>
      </w:r>
    </w:p>
    <w:p w14:paraId="15311EAB" w14:textId="77777777" w:rsidR="0088303E" w:rsidRPr="0088303E" w:rsidRDefault="0088303E" w:rsidP="0088303E">
      <w:pPr>
        <w:numPr>
          <w:ilvl w:val="0"/>
          <w:numId w:val="29"/>
        </w:numPr>
        <w:spacing w:before="100" w:beforeAutospacing="1" w:after="100" w:afterAutospacing="1"/>
        <w:jc w:val="left"/>
        <w:rPr>
          <w:rFonts w:ascii="Arial" w:eastAsia="Times New Roman" w:hAnsi="Arial" w:cs="Arial"/>
          <w:sz w:val="24"/>
          <w:szCs w:val="24"/>
          <w:lang w:eastAsia="it-IT"/>
        </w:rPr>
      </w:pPr>
      <w:r w:rsidRPr="0088303E">
        <w:rPr>
          <w:rFonts w:ascii="Arial" w:eastAsia="Times New Roman" w:hAnsi="Arial" w:cs="Arial"/>
          <w:sz w:val="24"/>
          <w:szCs w:val="24"/>
          <w:lang w:eastAsia="it-IT"/>
        </w:rPr>
        <w:t>60 rate mensili per debiti superiori a 500.000 euro.</w:t>
      </w:r>
    </w:p>
    <w:p w14:paraId="1872358E"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lastRenderedPageBreak/>
        <w:t>L’INPS può comunque concedere un numero di rate inferiore, tenendo conto della situazione economico-finanziaria rappresentata dal contribuente.</w:t>
      </w:r>
    </w:p>
    <w:p w14:paraId="707D3B3C"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Tra le principali novità vi è la possibilità di ottenere una seconda dilazione anche in presenza di una rateazione già in corso, senza necessità di estinguere preventivamente la prima. Le due dilazioni restano autonome; tuttavia, non è possibile ottenere una terza rateazione se non viene prima estinta almeno una delle due già attive. La seconda dilazione può essere concessa solo se nei 6 mesi precedenti non è intervenuta la revoca di una precedente rateazione.</w:t>
      </w:r>
    </w:p>
    <w:p w14:paraId="0F5664E9"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Il mantenimento del beneficio è subordinato sia al regolare pagamento delle rate sia alla correntezza contributiva. Il mancato pagamento di 3 rate mensili successive alla prima, anche non consecutive, comporta la revoca della dilazione. La revoca può inoltre intervenire qualora venga meno la regolarità nel versamento della contribuzione corrente.</w:t>
      </w:r>
    </w:p>
    <w:p w14:paraId="0069F8B8"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In caso di revoca, i debiti residui non possono essere oggetto di una nuova domanda di rateazione e vengono riscossi mediante avviso di addebito. Prima di procedere alla revoca, le Sedi INPS devono comunque contattare il contribuente per illustrare le possibilità di regolarizzazione.</w:t>
      </w:r>
    </w:p>
    <w:p w14:paraId="7C77558D"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La domanda deve essere presentata esclusivamente in via telematica tramite il “Cassetto Previdenziale del contribuente”, utilizzando la funzione “Domanda di dilazione”. Per i datori di lavoro non domestico deve essere compilato e allegato il modulo SC106. In caso di più strutture territoriali coinvolte, la domanda deve essere presentata alla sede competente per l’importo maggiore.</w:t>
      </w:r>
    </w:p>
    <w:p w14:paraId="0919F099"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Con la presentazione della domanda, il contribuente accetta il piano di pagamento, si impegna a versare la contribuzione corrente e prende atto dell’applicazione degli interessi di dilazione al tasso vigente alla data della domanda.</w:t>
      </w:r>
    </w:p>
    <w:p w14:paraId="432FCE83" w14:textId="7777777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Il procedimento si conclude con una determina di accoglimento o rigetto entro 20 giorni dalla presentazione della richiesta. L’accettazione del piano di ammortamento avviene con il pagamento della prima rata entro il termine indicato dall’INPS. Tale pagamento rileva anche ai fini del rilascio del DURC regolare in presenza di rateazione.</w:t>
      </w:r>
    </w:p>
    <w:p w14:paraId="1C124285" w14:textId="186B3597" w:rsidR="0088303E" w:rsidRPr="0088303E" w:rsidRDefault="0088303E" w:rsidP="0088303E">
      <w:pPr>
        <w:spacing w:before="100" w:beforeAutospacing="1" w:after="100" w:afterAutospacing="1"/>
        <w:ind w:left="0"/>
        <w:rPr>
          <w:rFonts w:ascii="Arial" w:eastAsia="Times New Roman" w:hAnsi="Arial" w:cs="Arial"/>
          <w:sz w:val="24"/>
          <w:szCs w:val="24"/>
          <w:lang w:eastAsia="it-IT"/>
        </w:rPr>
      </w:pPr>
      <w:r w:rsidRPr="0088303E">
        <w:rPr>
          <w:rFonts w:ascii="Arial" w:eastAsia="Times New Roman" w:hAnsi="Arial" w:cs="Arial"/>
          <w:sz w:val="24"/>
          <w:szCs w:val="24"/>
          <w:lang w:eastAsia="it-IT"/>
        </w:rPr>
        <w:t>Le rate successive alla prima scadono l’ultimo giorno di ciascun mese</w:t>
      </w:r>
      <w:r w:rsidR="004956E0">
        <w:rPr>
          <w:rFonts w:ascii="Arial" w:eastAsia="Times New Roman" w:hAnsi="Arial" w:cs="Arial"/>
          <w:sz w:val="24"/>
          <w:szCs w:val="24"/>
          <w:lang w:eastAsia="it-IT"/>
        </w:rPr>
        <w:t xml:space="preserve">. </w:t>
      </w:r>
      <w:r w:rsidRPr="0088303E">
        <w:rPr>
          <w:rFonts w:ascii="Arial" w:eastAsia="Times New Roman" w:hAnsi="Arial" w:cs="Arial"/>
          <w:sz w:val="24"/>
          <w:szCs w:val="24"/>
          <w:lang w:eastAsia="it-IT"/>
        </w:rPr>
        <w:t>Il pagamento tardivo comporta l’applicazione delle sanzioni civili e non è ammessa la compensazione. Il contribuente può comunque estinguere anticipatamente la dilazione mediante pagamento integrale del debito residuo.</w:t>
      </w:r>
    </w:p>
    <w:p w14:paraId="32EBC739" w14:textId="23C4BE01" w:rsidR="00513D14" w:rsidRPr="00453F23" w:rsidRDefault="00453F23" w:rsidP="00453F23">
      <w:pPr>
        <w:pStyle w:val="Paragrafoelenco"/>
        <w:numPr>
          <w:ilvl w:val="0"/>
          <w:numId w:val="36"/>
        </w:numPr>
        <w:spacing w:before="100" w:beforeAutospacing="1" w:after="100" w:afterAutospacing="1"/>
        <w:rPr>
          <w:rFonts w:ascii="Arial" w:eastAsia="Times New Roman" w:hAnsi="Arial" w:cs="Arial"/>
          <w:b/>
          <w:bCs/>
          <w:color w:val="0070C0"/>
          <w:sz w:val="24"/>
          <w:szCs w:val="24"/>
          <w:lang w:eastAsia="it-IT"/>
        </w:rPr>
      </w:pPr>
      <w:r w:rsidRPr="00453F23">
        <w:rPr>
          <w:rFonts w:ascii="Arial" w:eastAsia="Times New Roman" w:hAnsi="Arial" w:cs="Arial"/>
          <w:b/>
          <w:bCs/>
          <w:color w:val="0070C0"/>
          <w:sz w:val="24"/>
          <w:szCs w:val="24"/>
          <w:lang w:eastAsia="it-IT"/>
        </w:rPr>
        <w:t>NOVITÀ FONDO DI TESORERIA INPS</w:t>
      </w:r>
    </w:p>
    <w:p w14:paraId="1A46AF8C" w14:textId="0B4C6DC6"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 xml:space="preserve">L’articolo 16 del D.L. n. 62/2026 prevede che, per i datori di lavoro tenuti </w:t>
      </w:r>
      <w:r w:rsidR="00EA2AB7" w:rsidRPr="00EA2AB7">
        <w:rPr>
          <w:rFonts w:ascii="Arial" w:eastAsia="Times New Roman" w:hAnsi="Arial" w:cs="Arial"/>
          <w:b/>
          <w:bCs/>
          <w:sz w:val="24"/>
          <w:szCs w:val="24"/>
          <w:lang w:eastAsia="it-IT"/>
        </w:rPr>
        <w:t>per la prima volta</w:t>
      </w:r>
      <w:r w:rsidR="00EA2AB7">
        <w:rPr>
          <w:rFonts w:ascii="Arial" w:eastAsia="Times New Roman" w:hAnsi="Arial" w:cs="Arial"/>
          <w:sz w:val="24"/>
          <w:szCs w:val="24"/>
          <w:lang w:eastAsia="it-IT"/>
        </w:rPr>
        <w:t xml:space="preserve"> </w:t>
      </w:r>
      <w:r w:rsidRPr="00EA2AB7">
        <w:rPr>
          <w:rFonts w:ascii="Arial" w:eastAsia="Times New Roman" w:hAnsi="Arial" w:cs="Arial"/>
          <w:b/>
          <w:bCs/>
          <w:sz w:val="24"/>
          <w:szCs w:val="24"/>
          <w:lang w:eastAsia="it-IT"/>
        </w:rPr>
        <w:t>dal 1° gennaio 2026</w:t>
      </w:r>
      <w:r w:rsidRPr="00513D14">
        <w:rPr>
          <w:rFonts w:ascii="Arial" w:eastAsia="Times New Roman" w:hAnsi="Arial" w:cs="Arial"/>
          <w:sz w:val="24"/>
          <w:szCs w:val="24"/>
          <w:lang w:eastAsia="it-IT"/>
        </w:rPr>
        <w:t xml:space="preserve"> al versamento del contributo al Fondo di Tesoreria INPS, i versamenti relativi ai periodi da gennaio a giugno 2026, se effettuati entro il 16 luglio 2026, siano </w:t>
      </w:r>
      <w:r w:rsidRPr="00513D14">
        <w:rPr>
          <w:rFonts w:ascii="Arial" w:eastAsia="Times New Roman" w:hAnsi="Arial" w:cs="Arial"/>
          <w:sz w:val="24"/>
          <w:szCs w:val="24"/>
          <w:lang w:eastAsia="it-IT"/>
        </w:rPr>
        <w:lastRenderedPageBreak/>
        <w:t>considerati tempestivi a tutti gli effetti di legge. Per tali periodi non si applicano sanzioni civili, interessi o somme aggiuntive.</w:t>
      </w:r>
    </w:p>
    <w:p w14:paraId="24C95F88" w14:textId="76B5C2BE"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 xml:space="preserve">Con </w:t>
      </w:r>
      <w:r w:rsidR="00391B70">
        <w:rPr>
          <w:rFonts w:ascii="Arial" w:eastAsia="Times New Roman" w:hAnsi="Arial" w:cs="Arial"/>
          <w:sz w:val="24"/>
          <w:szCs w:val="24"/>
          <w:lang w:eastAsia="it-IT"/>
        </w:rPr>
        <w:t xml:space="preserve">il </w:t>
      </w:r>
      <w:r w:rsidRPr="00513D14">
        <w:rPr>
          <w:rFonts w:ascii="Arial" w:eastAsia="Times New Roman" w:hAnsi="Arial" w:cs="Arial"/>
          <w:sz w:val="24"/>
          <w:szCs w:val="24"/>
          <w:lang w:eastAsia="it-IT"/>
        </w:rPr>
        <w:t xml:space="preserve">messaggio n. 1511/2026, l’INPS ha precisato che la disposizione introduce una proroga dei termini a favore dei datori di lavoro che, per effetto delle novità della </w:t>
      </w:r>
      <w:r w:rsidR="00C5503C">
        <w:rPr>
          <w:rFonts w:ascii="Arial" w:eastAsia="Times New Roman" w:hAnsi="Arial" w:cs="Arial"/>
          <w:sz w:val="24"/>
          <w:szCs w:val="24"/>
          <w:lang w:eastAsia="it-IT"/>
        </w:rPr>
        <w:t>l</w:t>
      </w:r>
      <w:r w:rsidRPr="00513D14">
        <w:rPr>
          <w:rFonts w:ascii="Arial" w:eastAsia="Times New Roman" w:hAnsi="Arial" w:cs="Arial"/>
          <w:sz w:val="24"/>
          <w:szCs w:val="24"/>
          <w:lang w:eastAsia="it-IT"/>
        </w:rPr>
        <w:t>egge di Bilancio 2026, risultano obbligati per la prima volta al versamento al Fondo di Tesoreria. Il termine già individuato dall’Istituto con la circolare n. 12/2026 per la regolarizzazione dei periodi pregressi è quindi esteso al 16 luglio 2026.</w:t>
      </w:r>
    </w:p>
    <w:p w14:paraId="5C62BDCB"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Ai fini dell’assolvimento degli obblighi contributivi, nel flusso UniEmens deve essere utilizzato il codice causale “CF05” nell’elemento relativo agli importi pregressi del Fondo di Tesoreria.</w:t>
      </w:r>
    </w:p>
    <w:p w14:paraId="5C2AF3FE" w14:textId="08A0536A" w:rsidR="00513D14" w:rsidRPr="00453F23" w:rsidRDefault="00513D14" w:rsidP="00453F23">
      <w:pPr>
        <w:spacing w:before="100" w:beforeAutospacing="1" w:after="100" w:afterAutospacing="1"/>
        <w:ind w:left="0"/>
        <w:rPr>
          <w:rFonts w:ascii="Arial" w:eastAsia="Times New Roman" w:hAnsi="Arial" w:cs="Arial"/>
          <w:color w:val="0070C0"/>
          <w:sz w:val="24"/>
          <w:szCs w:val="24"/>
          <w:lang w:eastAsia="it-IT"/>
        </w:rPr>
      </w:pPr>
      <w:r w:rsidRPr="00453F23">
        <w:rPr>
          <w:rFonts w:ascii="Arial" w:eastAsia="Times New Roman" w:hAnsi="Arial" w:cs="Arial"/>
          <w:b/>
          <w:bCs/>
          <w:color w:val="0070C0"/>
          <w:sz w:val="24"/>
          <w:szCs w:val="24"/>
          <w:lang w:eastAsia="it-IT"/>
        </w:rPr>
        <w:t>Settore agricolo</w:t>
      </w:r>
      <w:r w:rsidR="00453F23">
        <w:rPr>
          <w:rFonts w:ascii="Arial" w:eastAsia="Times New Roman" w:hAnsi="Arial" w:cs="Arial"/>
          <w:color w:val="0070C0"/>
          <w:sz w:val="24"/>
          <w:szCs w:val="24"/>
          <w:lang w:eastAsia="it-IT"/>
        </w:rPr>
        <w:t xml:space="preserve">: </w:t>
      </w:r>
      <w:r w:rsidRPr="00513D14">
        <w:rPr>
          <w:rFonts w:ascii="Arial" w:eastAsia="Times New Roman" w:hAnsi="Arial" w:cs="Arial"/>
          <w:sz w:val="24"/>
          <w:szCs w:val="24"/>
          <w:lang w:eastAsia="it-IT"/>
        </w:rPr>
        <w:t xml:space="preserve">Con </w:t>
      </w:r>
      <w:r w:rsidR="00391B70">
        <w:rPr>
          <w:rFonts w:ascii="Arial" w:eastAsia="Times New Roman" w:hAnsi="Arial" w:cs="Arial"/>
          <w:sz w:val="24"/>
          <w:szCs w:val="24"/>
          <w:lang w:eastAsia="it-IT"/>
        </w:rPr>
        <w:t xml:space="preserve">il </w:t>
      </w:r>
      <w:r w:rsidRPr="00513D14">
        <w:rPr>
          <w:rFonts w:ascii="Arial" w:eastAsia="Times New Roman" w:hAnsi="Arial" w:cs="Arial"/>
          <w:sz w:val="24"/>
          <w:szCs w:val="24"/>
          <w:lang w:eastAsia="it-IT"/>
        </w:rPr>
        <w:t xml:space="preserve">messaggio n. 1493/2026, </w:t>
      </w:r>
      <w:r w:rsidR="00DA01B5">
        <w:rPr>
          <w:rFonts w:ascii="Arial" w:eastAsia="Times New Roman" w:hAnsi="Arial" w:cs="Arial"/>
          <w:sz w:val="24"/>
          <w:szCs w:val="24"/>
          <w:lang w:eastAsia="it-IT"/>
        </w:rPr>
        <w:t xml:space="preserve">che </w:t>
      </w:r>
      <w:r w:rsidR="00DA01B5" w:rsidRPr="00DA01B5">
        <w:rPr>
          <w:rFonts w:ascii="Arial" w:eastAsia="Times New Roman" w:hAnsi="Arial" w:cs="Arial"/>
          <w:sz w:val="24"/>
          <w:szCs w:val="24"/>
          <w:lang w:eastAsia="it-IT"/>
        </w:rPr>
        <w:t>supera le precedenti indicazioni contenute nel messaggio n. 1388/2026</w:t>
      </w:r>
      <w:r w:rsidR="00DA01B5">
        <w:rPr>
          <w:rFonts w:ascii="Arial" w:eastAsia="Times New Roman" w:hAnsi="Arial" w:cs="Arial"/>
          <w:sz w:val="24"/>
          <w:szCs w:val="24"/>
          <w:lang w:eastAsia="it-IT"/>
        </w:rPr>
        <w:t xml:space="preserve">, </w:t>
      </w:r>
      <w:r w:rsidRPr="00513D14">
        <w:rPr>
          <w:rFonts w:ascii="Arial" w:eastAsia="Times New Roman" w:hAnsi="Arial" w:cs="Arial"/>
          <w:sz w:val="24"/>
          <w:szCs w:val="24"/>
          <w:lang w:eastAsia="it-IT"/>
        </w:rPr>
        <w:t>l’INPS ha fornito specifiche indicazioni per i datori di lavoro agricoli, integrando le istruzioni già contenute nella circolare n. 12/2026.</w:t>
      </w:r>
    </w:p>
    <w:p w14:paraId="76DF499C"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Per la verifica della soglia dimensionale, devono essere computati tutti i lavoratori subordinati in forza nell’anno di riferimento, indipendentemente dalla tipologia e durata del rapporto, dall’orario di lavoro svolto e dall’effettiva soggezione del singolo lavoratore alla disciplina del TFR.</w:t>
      </w:r>
    </w:p>
    <w:p w14:paraId="6F17ECEA"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Gli operai agricoli a tempo determinato concorrono al calcolo della media annuale della forza aziendale sulla base delle giornate di effettiva occupazione risultanti dalle denunce UniEmens/PosAgri, nel limite massimo convenzionale di 26 giornate mensili. La soglia dei 3 mesi rileva solo ai fini dell’obbligo di versamento delle quote di TFR al Fondo di Tesoreria e non ai fini del computo dimensionale.</w:t>
      </w:r>
    </w:p>
    <w:p w14:paraId="03E8C7F8"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Sono invece esclusi dal computo della media annuale gli operai agricoli assunti nell’ambito del lavoro occasionale agricolo, in quanto soggetti a disciplina speciale e contribuzione sostitutiva che non comprende il finanziamento del Fondo di Tesoreria.</w:t>
      </w:r>
    </w:p>
    <w:p w14:paraId="144C2B6B"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Per gli operai a tempo indeterminato, apprendisti e altri lavoratori stabilmente in forza, il calcolo è effettuato considerando 26 giornate per ciascun mese di presenza, fino a un massimo di 312 giornate annue. Per gli operai a tempo determinato rilevano le giornate di effettiva occupazione, sempre entro il limite di 26 giornate mensili. Per i lavoratori part-time, le giornate sono ridotte proporzionalmente all’orario contrattuale.</w:t>
      </w:r>
    </w:p>
    <w:p w14:paraId="492A75CC"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La forza media annua si determina dividendo la sommatoria delle giornate computabili nell’anno civile per 312. Per l’obbligo decorrente dal 1° gennaio 2026 occorre fare riferimento alle giornate maturate nell’anno 2025.</w:t>
      </w:r>
    </w:p>
    <w:p w14:paraId="7CF5E959" w14:textId="2BD28E81"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 xml:space="preserve">I datori di lavoro agricoli che risultano obbligati al versamento al Fondo di Tesoreria </w:t>
      </w:r>
      <w:r w:rsidR="006F742C">
        <w:rPr>
          <w:rFonts w:ascii="Arial" w:eastAsia="Times New Roman" w:hAnsi="Arial" w:cs="Arial"/>
          <w:sz w:val="24"/>
          <w:szCs w:val="24"/>
          <w:lang w:eastAsia="it-IT"/>
        </w:rPr>
        <w:t xml:space="preserve">INPS </w:t>
      </w:r>
      <w:r w:rsidRPr="00513D14">
        <w:rPr>
          <w:rFonts w:ascii="Arial" w:eastAsia="Times New Roman" w:hAnsi="Arial" w:cs="Arial"/>
          <w:sz w:val="24"/>
          <w:szCs w:val="24"/>
          <w:lang w:eastAsia="it-IT"/>
        </w:rPr>
        <w:t xml:space="preserve">devono richiedere telematicamente l’attribuzione del codice di autorizzazione “1R”. Il codice </w:t>
      </w:r>
      <w:r w:rsidRPr="00513D14">
        <w:rPr>
          <w:rFonts w:ascii="Arial" w:eastAsia="Times New Roman" w:hAnsi="Arial" w:cs="Arial"/>
          <w:sz w:val="24"/>
          <w:szCs w:val="24"/>
          <w:lang w:eastAsia="it-IT"/>
        </w:rPr>
        <w:lastRenderedPageBreak/>
        <w:t>“2R” deve invece essere richiesto nei casi in cui l’obbligo riguardi soltanto singoli lavoratori assunti in continuità di rapporto ai sensi dell’articolo 2112 c.c.</w:t>
      </w:r>
    </w:p>
    <w:p w14:paraId="0105FE29" w14:textId="77777777" w:rsidR="00513D14" w:rsidRPr="00513D14" w:rsidRDefault="00513D14" w:rsidP="00513D14">
      <w:pPr>
        <w:spacing w:before="100" w:beforeAutospacing="1" w:after="100" w:afterAutospacing="1"/>
        <w:ind w:left="0"/>
        <w:rPr>
          <w:rFonts w:ascii="Arial" w:eastAsia="Times New Roman" w:hAnsi="Arial" w:cs="Arial"/>
          <w:sz w:val="24"/>
          <w:szCs w:val="24"/>
          <w:lang w:eastAsia="it-IT"/>
        </w:rPr>
      </w:pPr>
      <w:r w:rsidRPr="00513D14">
        <w:rPr>
          <w:rFonts w:ascii="Arial" w:eastAsia="Times New Roman" w:hAnsi="Arial" w:cs="Arial"/>
          <w:sz w:val="24"/>
          <w:szCs w:val="24"/>
          <w:lang w:eastAsia="it-IT"/>
        </w:rPr>
        <w:t>La dichiarazione per l’attribuzione del codice “1R” deve essere trasmessa tramite il Cassetto previdenziale del contribuente, sezione “Comunicazioni bidirezionali”, allegando il modulo “SC34_TFR_Tesoreria”. I datori di lavoro obbligati dal 1° gennaio 2026 devono inoltre esporre nei flussi UniEmens/PosAgri i dati relativi al nuovo obbligo contributivo secondo le istruzioni tecniche previste per la gestione del Fondo di Tesoreria.</w:t>
      </w:r>
    </w:p>
    <w:p w14:paraId="226B76E2" w14:textId="0C4D706D" w:rsidR="0028191B" w:rsidRPr="00453F23" w:rsidRDefault="00453F23" w:rsidP="00453F23">
      <w:pPr>
        <w:pStyle w:val="Paragrafoelenco"/>
        <w:numPr>
          <w:ilvl w:val="0"/>
          <w:numId w:val="36"/>
        </w:numPr>
        <w:spacing w:before="100" w:beforeAutospacing="1" w:after="100" w:afterAutospacing="1"/>
        <w:jc w:val="left"/>
        <w:rPr>
          <w:rFonts w:ascii="Arial" w:eastAsia="Times New Roman" w:hAnsi="Arial" w:cs="Arial"/>
          <w:color w:val="0070C0"/>
          <w:sz w:val="24"/>
          <w:szCs w:val="24"/>
          <w:lang w:eastAsia="it-IT"/>
        </w:rPr>
      </w:pPr>
      <w:r w:rsidRPr="00453F23">
        <w:rPr>
          <w:rFonts w:ascii="Arial" w:eastAsia="Times New Roman" w:hAnsi="Arial" w:cs="Arial"/>
          <w:b/>
          <w:bCs/>
          <w:color w:val="0070C0"/>
          <w:sz w:val="24"/>
          <w:szCs w:val="24"/>
          <w:lang w:eastAsia="it-IT"/>
        </w:rPr>
        <w:t>CERTIFICATI DI INFORTUNIO E RIPRESA DEL LAVORO</w:t>
      </w:r>
    </w:p>
    <w:p w14:paraId="0FBC86CF" w14:textId="5BF576CE"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 xml:space="preserve">Con </w:t>
      </w:r>
      <w:r w:rsidR="00391B70">
        <w:rPr>
          <w:rFonts w:ascii="Arial" w:eastAsia="Times New Roman" w:hAnsi="Arial" w:cs="Arial"/>
          <w:sz w:val="24"/>
          <w:szCs w:val="24"/>
          <w:lang w:eastAsia="it-IT"/>
        </w:rPr>
        <w:t xml:space="preserve">la </w:t>
      </w:r>
      <w:r w:rsidRPr="00C14973">
        <w:rPr>
          <w:rFonts w:ascii="Arial" w:eastAsia="Times New Roman" w:hAnsi="Arial" w:cs="Arial"/>
          <w:sz w:val="24"/>
          <w:szCs w:val="24"/>
          <w:lang w:eastAsia="it-IT"/>
        </w:rPr>
        <w:t>circolare n. 17/2026, l’INAIL ha fornito chiarimenti sulla gestione della certificazione medica di infortunio sul lavoro. Il certificato è trasmesso telematicamente all’Istituto dal medico o dalla struttura sanitaria che presta la prima assistenza, tramite il Modello 1SS, con il quale viene attestato lo stato di inabilità temporanea assoluta al lavoro derivante dall’infortunio.</w:t>
      </w:r>
    </w:p>
    <w:p w14:paraId="4E8C6A59" w14:textId="6C8400D3"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 xml:space="preserve">La medesima modulistica è utilizzata anche per le certificazioni successive, </w:t>
      </w:r>
      <w:r w:rsidR="007D24B1">
        <w:rPr>
          <w:rFonts w:ascii="Arial" w:eastAsia="Times New Roman" w:hAnsi="Arial" w:cs="Arial"/>
          <w:sz w:val="24"/>
          <w:szCs w:val="24"/>
          <w:lang w:eastAsia="it-IT"/>
        </w:rPr>
        <w:t>classificate</w:t>
      </w:r>
      <w:r w:rsidR="00FE3E3D">
        <w:rPr>
          <w:rFonts w:ascii="Arial" w:eastAsia="Times New Roman" w:hAnsi="Arial" w:cs="Arial"/>
          <w:sz w:val="24"/>
          <w:szCs w:val="24"/>
          <w:lang w:eastAsia="it-IT"/>
        </w:rPr>
        <w:t xml:space="preserve"> </w:t>
      </w:r>
      <w:r w:rsidRPr="00C14973">
        <w:rPr>
          <w:rFonts w:ascii="Arial" w:eastAsia="Times New Roman" w:hAnsi="Arial" w:cs="Arial"/>
          <w:sz w:val="24"/>
          <w:szCs w:val="24"/>
          <w:lang w:eastAsia="it-IT"/>
        </w:rPr>
        <w:t>operativamente come “primo”, “continuativo”, “definitivo” o “riammissione in temporanea”. Tale classificazione ha però solo valore gestionale e non incide sulla validità giuridica del certificato.</w:t>
      </w:r>
    </w:p>
    <w:p w14:paraId="7BD8A62E" w14:textId="77777777"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L’INAIL precisa che, se al primo certificato o ai certificati successivi non seguono ulteriori prognosi, l’ultimo giorno indicato nell’ultima certificazione ricevuta coincide con la conclusione del periodo di inabilità temporanea assoluta. Di conseguenza, il lavoratore può riprendere l’attività lavorativa al termine della prognosi indicata nell’ultimo certificato trasmesso all’INAIL, senza necessità di produrre un ulteriore certificato medico “definitivo”.</w:t>
      </w:r>
    </w:p>
    <w:p w14:paraId="416C2859" w14:textId="77777777"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Resta ferma la possibilità, su richiesta del lavoratore o dell’Istituto, di rilascio del certificato medico-legale continuativo o definitivo da parte dell’INAIL.</w:t>
      </w:r>
    </w:p>
    <w:p w14:paraId="6D54BF10" w14:textId="77777777"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Qualora il lavoratore intenda riprendere anticipatamente l’attività rispetto alla prognosi originaria, la riammissione in servizio è possibile solo in presenza di un nuovo certificato medico, rilasciato da qualunque medico, che modifichi e anticipi il termine della prognosi.</w:t>
      </w:r>
    </w:p>
    <w:p w14:paraId="6732B5C2" w14:textId="77777777" w:rsidR="0028191B" w:rsidRPr="00C14973" w:rsidRDefault="0028191B"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Per la valutazione dell’idoneità alla mansione specifica può inoltre essere attivata la sorveglianza sanitaria del medico competente. Le medesime indicazioni valgono anche per i casi di malattia professionale.</w:t>
      </w:r>
    </w:p>
    <w:p w14:paraId="0D278002" w14:textId="32068C8D" w:rsidR="00BE5689" w:rsidRPr="00453F23" w:rsidRDefault="00453F23" w:rsidP="00453F23">
      <w:pPr>
        <w:pStyle w:val="Paragrafoelenco"/>
        <w:numPr>
          <w:ilvl w:val="0"/>
          <w:numId w:val="36"/>
        </w:numPr>
        <w:spacing w:before="100" w:beforeAutospacing="1" w:after="100" w:afterAutospacing="1"/>
        <w:jc w:val="left"/>
        <w:rPr>
          <w:rFonts w:ascii="Arial" w:eastAsia="Times New Roman" w:hAnsi="Arial" w:cs="Arial"/>
          <w:color w:val="0070C0"/>
          <w:sz w:val="24"/>
          <w:szCs w:val="24"/>
          <w:lang w:eastAsia="it-IT"/>
        </w:rPr>
      </w:pPr>
      <w:r w:rsidRPr="00453F23">
        <w:rPr>
          <w:rFonts w:ascii="Arial" w:eastAsia="Times New Roman" w:hAnsi="Arial" w:cs="Arial"/>
          <w:b/>
          <w:bCs/>
          <w:color w:val="0070C0"/>
          <w:sz w:val="24"/>
          <w:szCs w:val="24"/>
          <w:lang w:eastAsia="it-IT"/>
        </w:rPr>
        <w:t>NOVITÀ CIVIS</w:t>
      </w:r>
    </w:p>
    <w:p w14:paraId="3F668DD7" w14:textId="77777777" w:rsidR="00BE5689" w:rsidRPr="00C14973" w:rsidRDefault="00BE5689"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Con comunicato stampa del 12 maggio 2026, l’Agenzia delle Entrate ha reso noto il rinnovo del canale Civis, il servizio di assistenza online dedicato a comunicazioni, avvisi telematici e cartelle di pagamento.</w:t>
      </w:r>
    </w:p>
    <w:p w14:paraId="5C5C4506" w14:textId="77777777" w:rsidR="00BE5689" w:rsidRPr="00C14973" w:rsidRDefault="00BE5689"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lastRenderedPageBreak/>
        <w:t>La principale novità riguarda la possibilità, dopo la prima risposta dell’Agenzia, di richiedere il riesame della pratica direttamente tramite Civis, senza necessità di utilizzare altri canali, come appuntamenti presso l’Ufficio o invio di PEC.</w:t>
      </w:r>
    </w:p>
    <w:p w14:paraId="5AD0E1CD" w14:textId="77777777" w:rsidR="00BE5689" w:rsidRPr="00C14973" w:rsidRDefault="00BE5689"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L’utente, direttamente o tramite un professionista delegato, può quindi continuare a dialogare online con lo stesso Ufficio che ha gestito la richiesta, fornendo ulteriori informazioni e allegando fino a 10 documenti.</w:t>
      </w:r>
    </w:p>
    <w:p w14:paraId="1A736186" w14:textId="77777777" w:rsidR="00BE5689" w:rsidRPr="00C14973" w:rsidRDefault="00BE5689"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Il servizio consente inoltre di monitorare lo stato di lavorazione e l’esito delle richieste inviate, consultare le pratiche precedenti, anche se presentate da un intermediario, e conoscere l’Ufficio che ha preso in carico la pratica.</w:t>
      </w:r>
    </w:p>
    <w:p w14:paraId="5771024F" w14:textId="48B1EDA9" w:rsidR="00BE5689" w:rsidRPr="00C14973" w:rsidRDefault="00BE5689" w:rsidP="00C14973">
      <w:pPr>
        <w:spacing w:before="100" w:beforeAutospacing="1" w:after="100" w:afterAutospacing="1"/>
        <w:ind w:left="0"/>
        <w:rPr>
          <w:rFonts w:ascii="Arial" w:eastAsia="Times New Roman" w:hAnsi="Arial" w:cs="Arial"/>
          <w:sz w:val="24"/>
          <w:szCs w:val="24"/>
          <w:lang w:eastAsia="it-IT"/>
        </w:rPr>
      </w:pPr>
      <w:r w:rsidRPr="00C14973">
        <w:rPr>
          <w:rFonts w:ascii="Arial" w:eastAsia="Times New Roman" w:hAnsi="Arial" w:cs="Arial"/>
          <w:sz w:val="24"/>
          <w:szCs w:val="24"/>
          <w:lang w:eastAsia="it-IT"/>
        </w:rPr>
        <w:t>Per ulteriori dettagli</w:t>
      </w:r>
      <w:r w:rsidR="001A14EC">
        <w:rPr>
          <w:rFonts w:ascii="Arial" w:eastAsia="Times New Roman" w:hAnsi="Arial" w:cs="Arial"/>
          <w:sz w:val="24"/>
          <w:szCs w:val="24"/>
          <w:lang w:eastAsia="it-IT"/>
        </w:rPr>
        <w:t>,</w:t>
      </w:r>
      <w:r w:rsidRPr="00C14973">
        <w:rPr>
          <w:rFonts w:ascii="Arial" w:eastAsia="Times New Roman" w:hAnsi="Arial" w:cs="Arial"/>
          <w:sz w:val="24"/>
          <w:szCs w:val="24"/>
          <w:lang w:eastAsia="it-IT"/>
        </w:rPr>
        <w:t xml:space="preserve"> è possibile consultare la guida aggiornata “Civis per comunicazioni, avvisi telematici, cartelle di pagamento”, disponibile sul sito dell’Agenzia delle Entrate.</w:t>
      </w:r>
    </w:p>
    <w:p w14:paraId="21B4FA1D" w14:textId="77777777" w:rsidR="00E6017C" w:rsidRDefault="00E6017C" w:rsidP="00E6017C">
      <w:pPr>
        <w:spacing w:before="100" w:beforeAutospacing="1" w:after="100" w:afterAutospacing="1"/>
        <w:ind w:left="0"/>
        <w:rPr>
          <w:rFonts w:ascii="Arial" w:eastAsia="Times New Roman" w:hAnsi="Arial" w:cs="Arial"/>
          <w:sz w:val="24"/>
          <w:szCs w:val="24"/>
          <w:lang w:eastAsia="it-IT"/>
        </w:rPr>
      </w:pPr>
      <w:r>
        <w:rPr>
          <w:rFonts w:ascii="Arial" w:eastAsia="Times New Roman" w:hAnsi="Arial" w:cs="Arial"/>
          <w:sz w:val="24"/>
          <w:szCs w:val="24"/>
          <w:lang w:eastAsia="it-IT"/>
        </w:rPr>
        <w:t xml:space="preserve">Lo studio rimane a disposizione per eventuali ulteriori chiarimenti. </w:t>
      </w:r>
    </w:p>
    <w:p w14:paraId="36EBDEC3" w14:textId="77777777" w:rsidR="00E6017C" w:rsidRDefault="00E6017C" w:rsidP="00E6017C">
      <w:pPr>
        <w:spacing w:before="100" w:beforeAutospacing="1" w:after="100" w:afterAutospacing="1"/>
        <w:ind w:left="0"/>
        <w:rPr>
          <w:rFonts w:ascii="Arial" w:eastAsia="Times New Roman" w:hAnsi="Arial" w:cs="Arial"/>
          <w:sz w:val="24"/>
          <w:szCs w:val="24"/>
          <w:lang w:eastAsia="it-IT"/>
        </w:rPr>
      </w:pPr>
      <w:r>
        <w:rPr>
          <w:rFonts w:ascii="Arial" w:eastAsia="Times New Roman" w:hAnsi="Arial" w:cs="Arial"/>
          <w:sz w:val="24"/>
          <w:szCs w:val="24"/>
          <w:lang w:eastAsia="it-IT"/>
        </w:rPr>
        <w:t>Distinti saluti.</w:t>
      </w:r>
    </w:p>
    <w:p w14:paraId="11CDA979" w14:textId="77777777" w:rsidR="00E6017C" w:rsidRDefault="00E6017C" w:rsidP="00E6017C">
      <w:pPr>
        <w:spacing w:before="100" w:beforeAutospacing="1" w:after="100" w:afterAutospacing="1"/>
        <w:ind w:left="0"/>
        <w:rPr>
          <w:rFonts w:ascii="Arial" w:eastAsia="Times New Roman" w:hAnsi="Arial" w:cs="Arial"/>
          <w:b/>
          <w:bCs/>
          <w:color w:val="0070C0"/>
          <w:sz w:val="24"/>
          <w:szCs w:val="24"/>
          <w:lang w:eastAsia="it-IT"/>
        </w:rPr>
      </w:pPr>
      <w:r>
        <w:rPr>
          <w:rFonts w:ascii="Arial" w:eastAsia="Times New Roman" w:hAnsi="Arial" w:cs="Arial"/>
          <w:b/>
          <w:bCs/>
          <w:color w:val="0070C0"/>
          <w:sz w:val="24"/>
          <w:szCs w:val="24"/>
          <w:lang w:eastAsia="it-IT"/>
        </w:rPr>
        <w:t>Studio Dafe STP S.r.l.</w:t>
      </w:r>
    </w:p>
    <w:p w14:paraId="39287B7C" w14:textId="77777777" w:rsidR="00EE55B2" w:rsidRPr="0088303E" w:rsidRDefault="00EE55B2" w:rsidP="0088303E">
      <w:pPr>
        <w:spacing w:before="100" w:beforeAutospacing="1" w:after="100" w:afterAutospacing="1"/>
        <w:ind w:left="0"/>
        <w:rPr>
          <w:rFonts w:ascii="Arial" w:eastAsia="Times New Roman" w:hAnsi="Arial" w:cs="Arial"/>
          <w:sz w:val="24"/>
          <w:szCs w:val="24"/>
          <w:lang w:eastAsia="it-IT"/>
        </w:rPr>
      </w:pPr>
    </w:p>
    <w:p w14:paraId="2A206CA5"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20AEF608"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6131B3C7"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5E3E25E6"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00BE3CB5"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2C073D70" w14:textId="77777777" w:rsidR="00EE55B2" w:rsidRDefault="00EE55B2" w:rsidP="005B753E">
      <w:pPr>
        <w:shd w:val="clear" w:color="auto" w:fill="FFFFFF"/>
        <w:spacing w:after="375" w:line="270" w:lineRule="atLeast"/>
        <w:ind w:left="0"/>
        <w:rPr>
          <w:rFonts w:ascii="Open Sans" w:eastAsia="Times New Roman" w:hAnsi="Open Sans" w:cs="Open Sans"/>
          <w:b/>
          <w:bCs/>
          <w:color w:val="4F81BD"/>
          <w:spacing w:val="7"/>
          <w:lang w:eastAsia="it-IT"/>
        </w:rPr>
      </w:pPr>
    </w:p>
    <w:bookmarkEnd w:id="0"/>
    <w:p w14:paraId="7F846505"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2F5EBD9A"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20991EC"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70406074"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p w14:paraId="40B3805F" w14:textId="77777777" w:rsidR="00C9355F" w:rsidRDefault="00C9355F" w:rsidP="005B753E">
      <w:pPr>
        <w:shd w:val="clear" w:color="auto" w:fill="FFFFFF"/>
        <w:spacing w:after="375" w:line="270" w:lineRule="atLeast"/>
        <w:ind w:left="0"/>
        <w:rPr>
          <w:rFonts w:ascii="Open Sans" w:eastAsia="Times New Roman" w:hAnsi="Open Sans" w:cs="Open Sans"/>
          <w:b/>
          <w:bCs/>
          <w:color w:val="4F81BD"/>
          <w:spacing w:val="7"/>
          <w:lang w:eastAsia="it-IT"/>
        </w:rPr>
      </w:pPr>
    </w:p>
    <w:sectPr w:rsidR="00C9355F" w:rsidSect="00640192">
      <w:headerReference w:type="default" r:id="rId11"/>
      <w:footerReference w:type="default" r:id="rId12"/>
      <w:pgSz w:w="11900" w:h="16840"/>
      <w:pgMar w:top="1985" w:right="1134" w:bottom="2127" w:left="1134" w:header="424" w:footer="23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83DC1" w14:textId="77777777" w:rsidR="00084529" w:rsidRDefault="00084529" w:rsidP="003C3067">
      <w:r>
        <w:separator/>
      </w:r>
    </w:p>
  </w:endnote>
  <w:endnote w:type="continuationSeparator" w:id="0">
    <w:p w14:paraId="636F7C1E" w14:textId="77777777" w:rsidR="00084529" w:rsidRDefault="00084529" w:rsidP="003C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T Sans">
    <w:charset w:val="00"/>
    <w:family w:val="swiss"/>
    <w:pitch w:val="variable"/>
    <w:sig w:usb0="A00002EF" w:usb1="5000204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Calibri-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foTextOT-Italic">
    <w:panose1 w:val="00000000000000000000"/>
    <w:charset w:val="00"/>
    <w:family w:val="swiss"/>
    <w:notTrueType/>
    <w:pitch w:val="variable"/>
    <w:sig w:usb0="800000EF" w:usb1="4000207B" w:usb2="00000008" w:usb3="00000000" w:csb0="00000001" w:csb1="00000000"/>
  </w:font>
  <w:font w:name="Open Sans">
    <w:charset w:val="00"/>
    <w:family w:val="swiss"/>
    <w:pitch w:val="variable"/>
    <w:sig w:usb0="E00002EF" w:usb1="4000205B" w:usb2="00000028" w:usb3="00000000" w:csb0="0000019F" w:csb1="00000000"/>
  </w:font>
  <w:font w:name="Rockwell">
    <w:panose1 w:val="02060603020205020403"/>
    <w:charset w:val="00"/>
    <w:family w:val="roman"/>
    <w:pitch w:val="variable"/>
    <w:sig w:usb0="00000007" w:usb1="00000000" w:usb2="00000000" w:usb3="00000000" w:csb0="00000003"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398E" w14:textId="3FE0992F" w:rsidR="003C3067" w:rsidRDefault="00E802A3" w:rsidP="001F0405">
    <w:pPr>
      <w:pStyle w:val="Pidipagina"/>
      <w:ind w:left="-851" w:hanging="142"/>
    </w:pPr>
    <w:r>
      <w:rPr>
        <w:noProof/>
      </w:rPr>
      <w:drawing>
        <wp:anchor distT="0" distB="0" distL="114300" distR="114300" simplePos="0" relativeHeight="251658242" behindDoc="0" locked="0" layoutInCell="1" allowOverlap="1" wp14:anchorId="4056D899" wp14:editId="2BEB7FC9">
          <wp:simplePos x="0" y="0"/>
          <wp:positionH relativeFrom="column">
            <wp:posOffset>-709138</wp:posOffset>
          </wp:positionH>
          <wp:positionV relativeFrom="paragraph">
            <wp:posOffset>-522964</wp:posOffset>
          </wp:positionV>
          <wp:extent cx="7555441" cy="824230"/>
          <wp:effectExtent l="0" t="0" r="7620" b="0"/>
          <wp:wrapNone/>
          <wp:docPr id="2140690703" name="Immagine 214069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2265" name="Immagine 180492265"/>
                  <pic:cNvPicPr/>
                </pic:nvPicPr>
                <pic:blipFill>
                  <a:blip r:embed="rId1"/>
                  <a:stretch>
                    <a:fillRect/>
                  </a:stretch>
                </pic:blipFill>
                <pic:spPr>
                  <a:xfrm>
                    <a:off x="0" y="0"/>
                    <a:ext cx="7555441" cy="82423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A4C15" w14:textId="77777777" w:rsidR="00084529" w:rsidRDefault="00084529" w:rsidP="003C3067">
      <w:r>
        <w:separator/>
      </w:r>
    </w:p>
  </w:footnote>
  <w:footnote w:type="continuationSeparator" w:id="0">
    <w:p w14:paraId="104523A0" w14:textId="77777777" w:rsidR="00084529" w:rsidRDefault="00084529" w:rsidP="003C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C49C" w14:textId="26617D83" w:rsidR="003C3067" w:rsidRDefault="00A725FF" w:rsidP="001F0405">
    <w:pPr>
      <w:pStyle w:val="Intestazione"/>
      <w:tabs>
        <w:tab w:val="clear" w:pos="4819"/>
        <w:tab w:val="clear" w:pos="9638"/>
        <w:tab w:val="center" w:pos="5570"/>
      </w:tabs>
      <w:ind w:left="-993" w:right="-709"/>
    </w:pPr>
    <w:r>
      <w:rPr>
        <w:noProof/>
      </w:rPr>
      <w:drawing>
        <wp:anchor distT="0" distB="0" distL="114300" distR="114300" simplePos="0" relativeHeight="251658241" behindDoc="1" locked="0" layoutInCell="1" allowOverlap="1" wp14:anchorId="7660574A" wp14:editId="247CBC14">
          <wp:simplePos x="0" y="0"/>
          <wp:positionH relativeFrom="column">
            <wp:posOffset>-751895</wp:posOffset>
          </wp:positionH>
          <wp:positionV relativeFrom="paragraph">
            <wp:posOffset>-237435</wp:posOffset>
          </wp:positionV>
          <wp:extent cx="12177913" cy="1071880"/>
          <wp:effectExtent l="0" t="0" r="0" b="0"/>
          <wp:wrapNone/>
          <wp:docPr id="569027258" name="Immagine 5690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0910" name="Immagine 1115750910"/>
                  <pic:cNvPicPr/>
                </pic:nvPicPr>
                <pic:blipFill>
                  <a:blip r:embed="rId1"/>
                  <a:stretch>
                    <a:fillRect/>
                  </a:stretch>
                </pic:blipFill>
                <pic:spPr>
                  <a:xfrm>
                    <a:off x="0" y="0"/>
                    <a:ext cx="12177913" cy="1071880"/>
                  </a:xfrm>
                  <a:prstGeom prst="rect">
                    <a:avLst/>
                  </a:prstGeom>
                </pic:spPr>
              </pic:pic>
            </a:graphicData>
          </a:graphic>
          <wp14:sizeRelH relativeFrom="page">
            <wp14:pctWidth>0</wp14:pctWidth>
          </wp14:sizeRelH>
          <wp14:sizeRelV relativeFrom="page">
            <wp14:pctHeight>0</wp14:pctHeight>
          </wp14:sizeRelV>
        </wp:anchor>
      </w:drawing>
    </w:r>
    <w:r w:rsidR="001F0405">
      <w:rPr>
        <w:noProof/>
      </w:rPr>
      <mc:AlternateContent>
        <mc:Choice Requires="wps">
          <w:drawing>
            <wp:anchor distT="0" distB="0" distL="114300" distR="114300" simplePos="0" relativeHeight="251658240" behindDoc="0" locked="1" layoutInCell="1" allowOverlap="1" wp14:anchorId="2A185EB4" wp14:editId="1A48F030">
              <wp:simplePos x="0" y="0"/>
              <wp:positionH relativeFrom="column">
                <wp:posOffset>561975</wp:posOffset>
              </wp:positionH>
              <wp:positionV relativeFrom="paragraph">
                <wp:posOffset>16510</wp:posOffset>
              </wp:positionV>
              <wp:extent cx="4810125" cy="543560"/>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4810125" cy="543560"/>
                      </a:xfrm>
                      <a:prstGeom prst="rect">
                        <a:avLst/>
                      </a:prstGeom>
                      <a:noFill/>
                      <a:ln w="6350">
                        <a:noFill/>
                      </a:ln>
                    </wps:spPr>
                    <wps:txbx>
                      <w:txbxContent>
                        <w:p w14:paraId="0E084260" w14:textId="47D3408E"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453F23">
                            <w:rPr>
                              <w:rFonts w:ascii="Rockwell" w:hAnsi="Rockwell" w:cs="Aharoni"/>
                              <w:color w:val="1F497D"/>
                              <w:sz w:val="32"/>
                              <w:szCs w:val="32"/>
                            </w:rPr>
                            <w:t>6</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453F23">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85EB4" id="_x0000_t202" coordsize="21600,21600" o:spt="202" path="m,l,21600r21600,l21600,xe">
              <v:stroke joinstyle="miter"/>
              <v:path gradientshapeok="t" o:connecttype="rect"/>
            </v:shapetype>
            <v:shape id="Casella di testo 6" o:spid="_x0000_s1026" type="#_x0000_t202" style="position:absolute;left:0;text-align:left;margin-left:44.25pt;margin-top:1.3pt;width:378.75pt;height:4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" filled="f" stroked="f" strokeweight=".5pt">
              <v:textbox>
                <w:txbxContent>
                  <w:p w14:paraId="0E084260" w14:textId="47D3408E"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453F23">
                      <w:rPr>
                        <w:rFonts w:ascii="Rockwell" w:hAnsi="Rockwell" w:cs="Aharoni"/>
                        <w:color w:val="1F497D"/>
                        <w:sz w:val="32"/>
                        <w:szCs w:val="32"/>
                      </w:rPr>
                      <w:t>6</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453F23">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7C22"/>
    <w:multiLevelType w:val="hybridMultilevel"/>
    <w:tmpl w:val="5B820542"/>
    <w:lvl w:ilvl="0" w:tplc="2398DEDE">
      <w:start w:val="1"/>
      <w:numFmt w:val="lowerLetter"/>
      <w:pStyle w:val="puntielencoletterea"/>
      <w:lvlText w:val="%1)"/>
      <w:lvlJc w:val="left"/>
      <w:pPr>
        <w:ind w:left="720" w:hanging="360"/>
      </w:pPr>
      <w:rPr>
        <w:rFonts w:ascii="PT Sans" w:hAnsi="PT San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6A24D3"/>
    <w:multiLevelType w:val="hybridMultilevel"/>
    <w:tmpl w:val="07F8103C"/>
    <w:lvl w:ilvl="0" w:tplc="A2229F7C">
      <w:start w:val="1"/>
      <w:numFmt w:val="decimal"/>
      <w:pStyle w:val="puntielenconumeri"/>
      <w:lvlText w:val="%1."/>
      <w:lvlJc w:val="left"/>
      <w:pPr>
        <w:ind w:left="360" w:hanging="360"/>
      </w:pPr>
      <w:rPr>
        <w:rFonts w:ascii="PT Sans" w:hAnsi="PT San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B950292"/>
    <w:multiLevelType w:val="hybridMultilevel"/>
    <w:tmpl w:val="DC7E88FA"/>
    <w:lvl w:ilvl="0" w:tplc="BC36FA2C">
      <w:start w:val="1"/>
      <w:numFmt w:val="bullet"/>
      <w:lvlText w:val=""/>
      <w:lvlJc w:val="left"/>
      <w:pPr>
        <w:tabs>
          <w:tab w:val="num" w:pos="227"/>
        </w:tabs>
        <w:ind w:left="227" w:hanging="227"/>
      </w:pPr>
      <w:rPr>
        <w:rFonts w:ascii="Symbol" w:hAnsi="Symbol" w:hint="default"/>
        <w:color w:val="006FB5"/>
        <w:sz w:val="20"/>
        <w:szCs w:val="20"/>
      </w:rPr>
    </w:lvl>
    <w:lvl w:ilvl="1" w:tplc="5BC29026">
      <w:start w:val="1"/>
      <w:numFmt w:val="bullet"/>
      <w:pStyle w:val="sottopuntielenco-"/>
      <w:lvlText w:val="-"/>
      <w:lvlJc w:val="left"/>
      <w:pPr>
        <w:tabs>
          <w:tab w:val="num" w:pos="454"/>
        </w:tabs>
        <w:ind w:left="454" w:hanging="227"/>
      </w:pPr>
      <w:rPr>
        <w:rFonts w:ascii="Times New Roman" w:hAnsi="Times New Roman" w:cs="Times New Roman" w:hint="default"/>
        <w:color w:val="auto"/>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6245C"/>
    <w:multiLevelType w:val="multilevel"/>
    <w:tmpl w:val="3728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07F69"/>
    <w:multiLevelType w:val="hybridMultilevel"/>
    <w:tmpl w:val="71AA12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920490"/>
    <w:multiLevelType w:val="hybridMultilevel"/>
    <w:tmpl w:val="5E0A04BE"/>
    <w:lvl w:ilvl="0" w:tplc="DF3240C8">
      <w:start w:val="1"/>
      <w:numFmt w:val="bullet"/>
      <w:pStyle w:val="testotabellapallino"/>
      <w:lvlText w:val="-"/>
      <w:lvlJc w:val="left"/>
      <w:pPr>
        <w:ind w:left="720" w:hanging="360"/>
      </w:pPr>
      <w:rPr>
        <w:rFonts w:ascii="PT Sans" w:hAnsi="PT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D83A41"/>
    <w:multiLevelType w:val="multilevel"/>
    <w:tmpl w:val="14EE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711B5"/>
    <w:multiLevelType w:val="multilevel"/>
    <w:tmpl w:val="EEA0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522B7"/>
    <w:multiLevelType w:val="hybridMultilevel"/>
    <w:tmpl w:val="4218E98C"/>
    <w:lvl w:ilvl="0" w:tplc="D5A47170">
      <w:start w:val="1"/>
      <w:numFmt w:val="bullet"/>
      <w:pStyle w:val="sottoparagrafo"/>
      <w:suff w:val="space"/>
      <w:lvlText w:val=""/>
      <w:lvlJc w:val="left"/>
      <w:pPr>
        <w:ind w:left="0" w:firstLine="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BE0BB4"/>
    <w:multiLevelType w:val="multilevel"/>
    <w:tmpl w:val="6946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B781A"/>
    <w:multiLevelType w:val="hybridMultilevel"/>
    <w:tmpl w:val="B332385A"/>
    <w:lvl w:ilvl="0" w:tplc="B602EBF0">
      <w:start w:val="1"/>
      <w:numFmt w:val="bullet"/>
      <w:pStyle w:val="puntoelencotabellapallino"/>
      <w:lvlText w:val=""/>
      <w:lvlJc w:val="left"/>
      <w:pPr>
        <w:tabs>
          <w:tab w:val="num" w:pos="454"/>
        </w:tabs>
        <w:ind w:left="454" w:hanging="227"/>
      </w:pPr>
      <w:rPr>
        <w:rFonts w:ascii="Symbol" w:hAnsi="Symbo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DB70485"/>
    <w:multiLevelType w:val="hybridMultilevel"/>
    <w:tmpl w:val="5EA4411C"/>
    <w:lvl w:ilvl="0" w:tplc="3A1EE3C2">
      <w:start w:val="1"/>
      <w:numFmt w:val="bullet"/>
      <w:pStyle w:val="testopuntoelenco"/>
      <w:lvlText w:val=""/>
      <w:lvlJc w:val="left"/>
      <w:pPr>
        <w:tabs>
          <w:tab w:val="num" w:pos="227"/>
        </w:tabs>
        <w:ind w:left="227" w:hanging="227"/>
      </w:pPr>
      <w:rPr>
        <w:rFonts w:ascii="Symbol" w:hAnsi="Symbol"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693027"/>
    <w:multiLevelType w:val="hybridMultilevel"/>
    <w:tmpl w:val="CB26006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0421D12"/>
    <w:multiLevelType w:val="multilevel"/>
    <w:tmpl w:val="FEE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072EF"/>
    <w:multiLevelType w:val="multilevel"/>
    <w:tmpl w:val="24C2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4D6E28"/>
    <w:multiLevelType w:val="hybridMultilevel"/>
    <w:tmpl w:val="9FF02850"/>
    <w:lvl w:ilvl="0" w:tplc="1CB6BE2E">
      <w:start w:val="1"/>
      <w:numFmt w:val="upp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3EF91E39"/>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8201C0"/>
    <w:multiLevelType w:val="multilevel"/>
    <w:tmpl w:val="ADCA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F5465F"/>
    <w:multiLevelType w:val="multilevel"/>
    <w:tmpl w:val="EBAE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F7AD5"/>
    <w:multiLevelType w:val="multilevel"/>
    <w:tmpl w:val="1D5829E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B200C"/>
    <w:multiLevelType w:val="hybridMultilevel"/>
    <w:tmpl w:val="4F282A86"/>
    <w:lvl w:ilvl="0" w:tplc="99C250F4">
      <w:numFmt w:val="bullet"/>
      <w:pStyle w:val="puntielencotabella"/>
      <w:lvlText w:val="-"/>
      <w:lvlJc w:val="left"/>
      <w:pPr>
        <w:tabs>
          <w:tab w:val="num" w:pos="454"/>
        </w:tabs>
        <w:ind w:left="454" w:hanging="227"/>
      </w:pPr>
      <w:rPr>
        <w:rFonts w:ascii="Arial" w:eastAsia="ヒラギノ角ゴ Pro W3" w:hAnsi="Arial" w:cs="Aria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FE6990"/>
    <w:multiLevelType w:val="multilevel"/>
    <w:tmpl w:val="1D50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FF376A"/>
    <w:multiLevelType w:val="multilevel"/>
    <w:tmpl w:val="2232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4448F8"/>
    <w:multiLevelType w:val="multilevel"/>
    <w:tmpl w:val="5196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050ED"/>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55263B"/>
    <w:multiLevelType w:val="hybridMultilevel"/>
    <w:tmpl w:val="0532C8CE"/>
    <w:lvl w:ilvl="0" w:tplc="22FECD72">
      <w:start w:val="1"/>
      <w:numFmt w:val="upperLetter"/>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AA708DC"/>
    <w:multiLevelType w:val="hybridMultilevel"/>
    <w:tmpl w:val="D79ACF1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ADD284C"/>
    <w:multiLevelType w:val="multilevel"/>
    <w:tmpl w:val="313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D51C84"/>
    <w:multiLevelType w:val="hybridMultilevel"/>
    <w:tmpl w:val="592416EE"/>
    <w:lvl w:ilvl="0" w:tplc="76B431D0">
      <w:start w:val="1"/>
      <w:numFmt w:val="upp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9" w15:restartNumberingAfterBreak="0">
    <w:nsid w:val="643A4B25"/>
    <w:multiLevelType w:val="hybridMultilevel"/>
    <w:tmpl w:val="F0FEF56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56A609B"/>
    <w:multiLevelType w:val="multilevel"/>
    <w:tmpl w:val="E3E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503CD"/>
    <w:multiLevelType w:val="hybridMultilevel"/>
    <w:tmpl w:val="1D2C71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C566540"/>
    <w:multiLevelType w:val="multilevel"/>
    <w:tmpl w:val="4014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C1BC8"/>
    <w:multiLevelType w:val="hybridMultilevel"/>
    <w:tmpl w:val="FE8AAFC8"/>
    <w:lvl w:ilvl="0" w:tplc="1BBECEB0">
      <w:start w:val="1"/>
      <w:numFmt w:val="lowerLetter"/>
      <w:pStyle w:val="puntoelencolettera"/>
      <w:lvlText w:val="%1)"/>
      <w:lvlJc w:val="left"/>
      <w:pPr>
        <w:tabs>
          <w:tab w:val="num" w:pos="227"/>
        </w:tabs>
        <w:ind w:left="227" w:hanging="227"/>
      </w:pPr>
      <w:rPr>
        <w:rFonts w:ascii="PT Sans" w:hAnsi="PT Sans"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982473"/>
    <w:multiLevelType w:val="multilevel"/>
    <w:tmpl w:val="33D8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36A62"/>
    <w:multiLevelType w:val="hybridMultilevel"/>
    <w:tmpl w:val="EFE0FAEA"/>
    <w:lvl w:ilvl="0" w:tplc="03B4811E">
      <w:numFmt w:val="bullet"/>
      <w:pStyle w:val="puntoelencopallino"/>
      <w:suff w:val="space"/>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91041989">
    <w:abstractNumId w:val="10"/>
  </w:num>
  <w:num w:numId="2" w16cid:durableId="987977072">
    <w:abstractNumId w:val="20"/>
  </w:num>
  <w:num w:numId="3" w16cid:durableId="1097214535">
    <w:abstractNumId w:val="11"/>
  </w:num>
  <w:num w:numId="4" w16cid:durableId="257179038">
    <w:abstractNumId w:val="1"/>
  </w:num>
  <w:num w:numId="5" w16cid:durableId="1677225003">
    <w:abstractNumId w:val="33"/>
  </w:num>
  <w:num w:numId="6" w16cid:durableId="1651985475">
    <w:abstractNumId w:val="5"/>
  </w:num>
  <w:num w:numId="7" w16cid:durableId="1181773558">
    <w:abstractNumId w:val="0"/>
  </w:num>
  <w:num w:numId="8" w16cid:durableId="1554341404">
    <w:abstractNumId w:val="35"/>
  </w:num>
  <w:num w:numId="9" w16cid:durableId="1144809138">
    <w:abstractNumId w:val="2"/>
  </w:num>
  <w:num w:numId="10" w16cid:durableId="1353646939">
    <w:abstractNumId w:val="8"/>
  </w:num>
  <w:num w:numId="11" w16cid:durableId="687871118">
    <w:abstractNumId w:val="9"/>
  </w:num>
  <w:num w:numId="12" w16cid:durableId="582567286">
    <w:abstractNumId w:val="19"/>
  </w:num>
  <w:num w:numId="13" w16cid:durableId="698623460">
    <w:abstractNumId w:val="17"/>
  </w:num>
  <w:num w:numId="14" w16cid:durableId="1531725123">
    <w:abstractNumId w:val="22"/>
  </w:num>
  <w:num w:numId="15" w16cid:durableId="126819844">
    <w:abstractNumId w:val="30"/>
  </w:num>
  <w:num w:numId="16" w16cid:durableId="835728162">
    <w:abstractNumId w:val="14"/>
  </w:num>
  <w:num w:numId="17" w16cid:durableId="789588258">
    <w:abstractNumId w:val="3"/>
  </w:num>
  <w:num w:numId="18" w16cid:durableId="1870294446">
    <w:abstractNumId w:val="29"/>
  </w:num>
  <w:num w:numId="19" w16cid:durableId="1735346509">
    <w:abstractNumId w:val="26"/>
  </w:num>
  <w:num w:numId="20" w16cid:durableId="236210171">
    <w:abstractNumId w:val="4"/>
  </w:num>
  <w:num w:numId="21" w16cid:durableId="159277484">
    <w:abstractNumId w:val="23"/>
  </w:num>
  <w:num w:numId="22" w16cid:durableId="777414018">
    <w:abstractNumId w:val="18"/>
  </w:num>
  <w:num w:numId="23" w16cid:durableId="1376467428">
    <w:abstractNumId w:val="6"/>
  </w:num>
  <w:num w:numId="24" w16cid:durableId="1068385316">
    <w:abstractNumId w:val="13"/>
  </w:num>
  <w:num w:numId="25" w16cid:durableId="1828856432">
    <w:abstractNumId w:val="32"/>
  </w:num>
  <w:num w:numId="26" w16cid:durableId="297145951">
    <w:abstractNumId w:val="21"/>
  </w:num>
  <w:num w:numId="27" w16cid:durableId="1836802402">
    <w:abstractNumId w:val="34"/>
  </w:num>
  <w:num w:numId="28" w16cid:durableId="206576456">
    <w:abstractNumId w:val="27"/>
  </w:num>
  <w:num w:numId="29" w16cid:durableId="101918289">
    <w:abstractNumId w:val="7"/>
  </w:num>
  <w:num w:numId="30" w16cid:durableId="1470125140">
    <w:abstractNumId w:val="31"/>
  </w:num>
  <w:num w:numId="31" w16cid:durableId="1863282936">
    <w:abstractNumId w:val="12"/>
  </w:num>
  <w:num w:numId="32" w16cid:durableId="1626083912">
    <w:abstractNumId w:val="15"/>
  </w:num>
  <w:num w:numId="33" w16cid:durableId="1153377086">
    <w:abstractNumId w:val="28"/>
  </w:num>
  <w:num w:numId="34" w16cid:durableId="1487629701">
    <w:abstractNumId w:val="24"/>
  </w:num>
  <w:num w:numId="35" w16cid:durableId="939947887">
    <w:abstractNumId w:val="16"/>
  </w:num>
  <w:num w:numId="36" w16cid:durableId="44927624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3" w:dllVersion="517" w:checkStyle="1"/>
  <w:proofState w:spelling="clean" w:grammar="clean"/>
  <w:documentProtection w:edit="readOnly" w:formatting="1" w:enforcement="1" w:cryptProviderType="rsaAES" w:cryptAlgorithmClass="hash" w:cryptAlgorithmType="typeAny" w:cryptAlgorithmSid="14" w:cryptSpinCount="100000" w:hash="Wj93wPekC2UneOD9Dicv8OF15gqn1buIkMUQsfWyUY8AgIYFgB/TW5FoauYw6Rn+BgXK/6NCTXZb9j3wxqWspg==" w:salt="iYXy8pa1+04FJR1Pi/TGtw=="/>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67"/>
    <w:rsid w:val="0000779C"/>
    <w:rsid w:val="00026059"/>
    <w:rsid w:val="00026F9E"/>
    <w:rsid w:val="000270DE"/>
    <w:rsid w:val="0003460C"/>
    <w:rsid w:val="00036E1D"/>
    <w:rsid w:val="00037FF6"/>
    <w:rsid w:val="000430BE"/>
    <w:rsid w:val="00047F12"/>
    <w:rsid w:val="000840F1"/>
    <w:rsid w:val="00084529"/>
    <w:rsid w:val="000848E9"/>
    <w:rsid w:val="00085F35"/>
    <w:rsid w:val="000901CC"/>
    <w:rsid w:val="000910FA"/>
    <w:rsid w:val="000926FA"/>
    <w:rsid w:val="000A0C07"/>
    <w:rsid w:val="000B43A5"/>
    <w:rsid w:val="000B4B7F"/>
    <w:rsid w:val="000B580F"/>
    <w:rsid w:val="000B5D84"/>
    <w:rsid w:val="000B63B7"/>
    <w:rsid w:val="000C05A1"/>
    <w:rsid w:val="000C1C25"/>
    <w:rsid w:val="000C4439"/>
    <w:rsid w:val="000C6500"/>
    <w:rsid w:val="000D6401"/>
    <w:rsid w:val="000E2C9D"/>
    <w:rsid w:val="000F6DCB"/>
    <w:rsid w:val="000F6E9D"/>
    <w:rsid w:val="0010146E"/>
    <w:rsid w:val="00102C17"/>
    <w:rsid w:val="00105D10"/>
    <w:rsid w:val="00107E26"/>
    <w:rsid w:val="00110BD4"/>
    <w:rsid w:val="001135AC"/>
    <w:rsid w:val="00113816"/>
    <w:rsid w:val="00123141"/>
    <w:rsid w:val="00134722"/>
    <w:rsid w:val="001359B8"/>
    <w:rsid w:val="001376AB"/>
    <w:rsid w:val="001412AF"/>
    <w:rsid w:val="00142996"/>
    <w:rsid w:val="001432F9"/>
    <w:rsid w:val="0014633A"/>
    <w:rsid w:val="0015231F"/>
    <w:rsid w:val="00152805"/>
    <w:rsid w:val="00155A5B"/>
    <w:rsid w:val="001659BB"/>
    <w:rsid w:val="00166193"/>
    <w:rsid w:val="001700D8"/>
    <w:rsid w:val="00172DCA"/>
    <w:rsid w:val="00180022"/>
    <w:rsid w:val="00180D46"/>
    <w:rsid w:val="00182363"/>
    <w:rsid w:val="00190ECE"/>
    <w:rsid w:val="001A0CC5"/>
    <w:rsid w:val="001A14EC"/>
    <w:rsid w:val="001A1EA1"/>
    <w:rsid w:val="001C2CEE"/>
    <w:rsid w:val="001C2EF5"/>
    <w:rsid w:val="001C3164"/>
    <w:rsid w:val="001C38BE"/>
    <w:rsid w:val="001C47B3"/>
    <w:rsid w:val="001C4EFC"/>
    <w:rsid w:val="001C5072"/>
    <w:rsid w:val="001C759D"/>
    <w:rsid w:val="001C7C1C"/>
    <w:rsid w:val="001C7D8D"/>
    <w:rsid w:val="001D5372"/>
    <w:rsid w:val="001E0F62"/>
    <w:rsid w:val="001E1776"/>
    <w:rsid w:val="001F0405"/>
    <w:rsid w:val="001F26A6"/>
    <w:rsid w:val="001F6B44"/>
    <w:rsid w:val="0020051E"/>
    <w:rsid w:val="002053AD"/>
    <w:rsid w:val="00214884"/>
    <w:rsid w:val="0021681E"/>
    <w:rsid w:val="002215B4"/>
    <w:rsid w:val="0022294C"/>
    <w:rsid w:val="00231C88"/>
    <w:rsid w:val="00232189"/>
    <w:rsid w:val="0023371D"/>
    <w:rsid w:val="002359D2"/>
    <w:rsid w:val="0023774D"/>
    <w:rsid w:val="00243057"/>
    <w:rsid w:val="00243BBE"/>
    <w:rsid w:val="0024558D"/>
    <w:rsid w:val="00245EEC"/>
    <w:rsid w:val="00255861"/>
    <w:rsid w:val="00256ECC"/>
    <w:rsid w:val="002728C1"/>
    <w:rsid w:val="0028191B"/>
    <w:rsid w:val="00282E0C"/>
    <w:rsid w:val="00284139"/>
    <w:rsid w:val="00291ED7"/>
    <w:rsid w:val="0029290E"/>
    <w:rsid w:val="00292DD8"/>
    <w:rsid w:val="002A0F58"/>
    <w:rsid w:val="002A4120"/>
    <w:rsid w:val="002A43BF"/>
    <w:rsid w:val="002A65AF"/>
    <w:rsid w:val="002C0CE6"/>
    <w:rsid w:val="002C5463"/>
    <w:rsid w:val="002D0328"/>
    <w:rsid w:val="002D05A2"/>
    <w:rsid w:val="002D19C1"/>
    <w:rsid w:val="002D6263"/>
    <w:rsid w:val="002F1720"/>
    <w:rsid w:val="002F1BF9"/>
    <w:rsid w:val="003026EB"/>
    <w:rsid w:val="00304B89"/>
    <w:rsid w:val="00306A48"/>
    <w:rsid w:val="00311B47"/>
    <w:rsid w:val="00312C56"/>
    <w:rsid w:val="00315158"/>
    <w:rsid w:val="00333DFF"/>
    <w:rsid w:val="003353C7"/>
    <w:rsid w:val="0033586F"/>
    <w:rsid w:val="00335B59"/>
    <w:rsid w:val="00335BA2"/>
    <w:rsid w:val="00340F4B"/>
    <w:rsid w:val="00352742"/>
    <w:rsid w:val="00367D0C"/>
    <w:rsid w:val="003846FF"/>
    <w:rsid w:val="00385DD0"/>
    <w:rsid w:val="0039156A"/>
    <w:rsid w:val="00391B70"/>
    <w:rsid w:val="003932BE"/>
    <w:rsid w:val="00395991"/>
    <w:rsid w:val="003974EB"/>
    <w:rsid w:val="003A3C6C"/>
    <w:rsid w:val="003A4D62"/>
    <w:rsid w:val="003A7682"/>
    <w:rsid w:val="003A78A9"/>
    <w:rsid w:val="003B1FB7"/>
    <w:rsid w:val="003C0BAE"/>
    <w:rsid w:val="003C3067"/>
    <w:rsid w:val="003C52AC"/>
    <w:rsid w:val="003C79CC"/>
    <w:rsid w:val="003C7BBB"/>
    <w:rsid w:val="003D0B11"/>
    <w:rsid w:val="003D7D3D"/>
    <w:rsid w:val="003E580D"/>
    <w:rsid w:val="003F5570"/>
    <w:rsid w:val="003F5EB9"/>
    <w:rsid w:val="00404F7F"/>
    <w:rsid w:val="00406BB5"/>
    <w:rsid w:val="00420BBB"/>
    <w:rsid w:val="004228C1"/>
    <w:rsid w:val="00424620"/>
    <w:rsid w:val="00426082"/>
    <w:rsid w:val="00442F6D"/>
    <w:rsid w:val="00446260"/>
    <w:rsid w:val="00450098"/>
    <w:rsid w:val="00453F23"/>
    <w:rsid w:val="00466F1A"/>
    <w:rsid w:val="004674B0"/>
    <w:rsid w:val="0047647D"/>
    <w:rsid w:val="0047727F"/>
    <w:rsid w:val="00482772"/>
    <w:rsid w:val="00483A9B"/>
    <w:rsid w:val="0049187B"/>
    <w:rsid w:val="004956E0"/>
    <w:rsid w:val="004A2420"/>
    <w:rsid w:val="004A591F"/>
    <w:rsid w:val="004A5DD2"/>
    <w:rsid w:val="004B4362"/>
    <w:rsid w:val="004C0490"/>
    <w:rsid w:val="004C35B6"/>
    <w:rsid w:val="004E5143"/>
    <w:rsid w:val="004E5C52"/>
    <w:rsid w:val="004F2F54"/>
    <w:rsid w:val="004F4637"/>
    <w:rsid w:val="00504B18"/>
    <w:rsid w:val="00504CED"/>
    <w:rsid w:val="00507CEF"/>
    <w:rsid w:val="00511543"/>
    <w:rsid w:val="00511669"/>
    <w:rsid w:val="00513D14"/>
    <w:rsid w:val="00514F28"/>
    <w:rsid w:val="00521CE8"/>
    <w:rsid w:val="00525FE6"/>
    <w:rsid w:val="00543F0C"/>
    <w:rsid w:val="00547BA1"/>
    <w:rsid w:val="00551720"/>
    <w:rsid w:val="00551D4C"/>
    <w:rsid w:val="005541E4"/>
    <w:rsid w:val="00557188"/>
    <w:rsid w:val="00557EBB"/>
    <w:rsid w:val="00565A73"/>
    <w:rsid w:val="005665B5"/>
    <w:rsid w:val="0056692D"/>
    <w:rsid w:val="00566AAA"/>
    <w:rsid w:val="00572680"/>
    <w:rsid w:val="00575B20"/>
    <w:rsid w:val="005824DA"/>
    <w:rsid w:val="00584D60"/>
    <w:rsid w:val="00596215"/>
    <w:rsid w:val="00596C2E"/>
    <w:rsid w:val="00597244"/>
    <w:rsid w:val="005A004F"/>
    <w:rsid w:val="005A21D5"/>
    <w:rsid w:val="005A2B49"/>
    <w:rsid w:val="005A3D41"/>
    <w:rsid w:val="005B4F30"/>
    <w:rsid w:val="005B753E"/>
    <w:rsid w:val="005C7BB8"/>
    <w:rsid w:val="005E1A6B"/>
    <w:rsid w:val="005F3A06"/>
    <w:rsid w:val="006013E6"/>
    <w:rsid w:val="00606E1E"/>
    <w:rsid w:val="00607DB6"/>
    <w:rsid w:val="006125C9"/>
    <w:rsid w:val="006150FE"/>
    <w:rsid w:val="00620B4D"/>
    <w:rsid w:val="00622D38"/>
    <w:rsid w:val="00630A97"/>
    <w:rsid w:val="00634A39"/>
    <w:rsid w:val="0063576C"/>
    <w:rsid w:val="00640192"/>
    <w:rsid w:val="00655160"/>
    <w:rsid w:val="00655C88"/>
    <w:rsid w:val="006723A7"/>
    <w:rsid w:val="006776A5"/>
    <w:rsid w:val="00677AC6"/>
    <w:rsid w:val="00683D3A"/>
    <w:rsid w:val="0069088C"/>
    <w:rsid w:val="0069109D"/>
    <w:rsid w:val="006943A0"/>
    <w:rsid w:val="00697253"/>
    <w:rsid w:val="006A2CAC"/>
    <w:rsid w:val="006C0C23"/>
    <w:rsid w:val="006C6C98"/>
    <w:rsid w:val="006C7917"/>
    <w:rsid w:val="006D1608"/>
    <w:rsid w:val="006D1E44"/>
    <w:rsid w:val="006D3DC2"/>
    <w:rsid w:val="006E7839"/>
    <w:rsid w:val="006F10E1"/>
    <w:rsid w:val="006F1FBC"/>
    <w:rsid w:val="006F2E08"/>
    <w:rsid w:val="006F734A"/>
    <w:rsid w:val="006F742C"/>
    <w:rsid w:val="007014E5"/>
    <w:rsid w:val="0070698B"/>
    <w:rsid w:val="007373B6"/>
    <w:rsid w:val="00742651"/>
    <w:rsid w:val="007436AE"/>
    <w:rsid w:val="00743C4B"/>
    <w:rsid w:val="00744F41"/>
    <w:rsid w:val="007458D2"/>
    <w:rsid w:val="00750406"/>
    <w:rsid w:val="00750925"/>
    <w:rsid w:val="00761F64"/>
    <w:rsid w:val="00770810"/>
    <w:rsid w:val="00775E91"/>
    <w:rsid w:val="00782875"/>
    <w:rsid w:val="00790D76"/>
    <w:rsid w:val="0079140B"/>
    <w:rsid w:val="00794541"/>
    <w:rsid w:val="007B41FF"/>
    <w:rsid w:val="007C062D"/>
    <w:rsid w:val="007C10B3"/>
    <w:rsid w:val="007C73F2"/>
    <w:rsid w:val="007D24B1"/>
    <w:rsid w:val="007D5F90"/>
    <w:rsid w:val="007D6B6A"/>
    <w:rsid w:val="007E2EDF"/>
    <w:rsid w:val="007E754C"/>
    <w:rsid w:val="007F4CE1"/>
    <w:rsid w:val="0080231B"/>
    <w:rsid w:val="00807894"/>
    <w:rsid w:val="00812961"/>
    <w:rsid w:val="00815DF5"/>
    <w:rsid w:val="0082158E"/>
    <w:rsid w:val="00821A63"/>
    <w:rsid w:val="00822525"/>
    <w:rsid w:val="008240DD"/>
    <w:rsid w:val="00824168"/>
    <w:rsid w:val="008271E4"/>
    <w:rsid w:val="008338C2"/>
    <w:rsid w:val="00840DB4"/>
    <w:rsid w:val="008443EA"/>
    <w:rsid w:val="00844D4D"/>
    <w:rsid w:val="00850DD7"/>
    <w:rsid w:val="0085273D"/>
    <w:rsid w:val="00855CE4"/>
    <w:rsid w:val="00860D99"/>
    <w:rsid w:val="00864568"/>
    <w:rsid w:val="00866EE9"/>
    <w:rsid w:val="00867A52"/>
    <w:rsid w:val="00872C90"/>
    <w:rsid w:val="00882331"/>
    <w:rsid w:val="00882504"/>
    <w:rsid w:val="0088303E"/>
    <w:rsid w:val="0089004D"/>
    <w:rsid w:val="00896A94"/>
    <w:rsid w:val="00897EF8"/>
    <w:rsid w:val="008A230A"/>
    <w:rsid w:val="008A654C"/>
    <w:rsid w:val="008A6950"/>
    <w:rsid w:val="008D1B1B"/>
    <w:rsid w:val="008D21FC"/>
    <w:rsid w:val="008D4EFA"/>
    <w:rsid w:val="008D5C36"/>
    <w:rsid w:val="008E0973"/>
    <w:rsid w:val="008E1080"/>
    <w:rsid w:val="008E15B8"/>
    <w:rsid w:val="008E6D99"/>
    <w:rsid w:val="008F12F0"/>
    <w:rsid w:val="008F45B1"/>
    <w:rsid w:val="008F462E"/>
    <w:rsid w:val="00904610"/>
    <w:rsid w:val="00912A70"/>
    <w:rsid w:val="009216FE"/>
    <w:rsid w:val="00927352"/>
    <w:rsid w:val="00940D8D"/>
    <w:rsid w:val="009413F3"/>
    <w:rsid w:val="00945767"/>
    <w:rsid w:val="0094713E"/>
    <w:rsid w:val="00950FC7"/>
    <w:rsid w:val="0095743F"/>
    <w:rsid w:val="0096354C"/>
    <w:rsid w:val="009641C0"/>
    <w:rsid w:val="00964AE0"/>
    <w:rsid w:val="00970D83"/>
    <w:rsid w:val="00973749"/>
    <w:rsid w:val="00976E72"/>
    <w:rsid w:val="00982C44"/>
    <w:rsid w:val="0098481E"/>
    <w:rsid w:val="00994CBD"/>
    <w:rsid w:val="009B278A"/>
    <w:rsid w:val="009B36DE"/>
    <w:rsid w:val="009C0F7E"/>
    <w:rsid w:val="009C21B8"/>
    <w:rsid w:val="009C4197"/>
    <w:rsid w:val="009D4657"/>
    <w:rsid w:val="009D7D9A"/>
    <w:rsid w:val="009E2F29"/>
    <w:rsid w:val="009E5CC4"/>
    <w:rsid w:val="009F2945"/>
    <w:rsid w:val="009F65B1"/>
    <w:rsid w:val="009F6CFC"/>
    <w:rsid w:val="009F6E12"/>
    <w:rsid w:val="00A02BDC"/>
    <w:rsid w:val="00A073EB"/>
    <w:rsid w:val="00A10365"/>
    <w:rsid w:val="00A134DE"/>
    <w:rsid w:val="00A16C49"/>
    <w:rsid w:val="00A219C3"/>
    <w:rsid w:val="00A23382"/>
    <w:rsid w:val="00A24939"/>
    <w:rsid w:val="00A254DA"/>
    <w:rsid w:val="00A25BC4"/>
    <w:rsid w:val="00A372DC"/>
    <w:rsid w:val="00A507A2"/>
    <w:rsid w:val="00A567B7"/>
    <w:rsid w:val="00A674C2"/>
    <w:rsid w:val="00A725FF"/>
    <w:rsid w:val="00A72FF2"/>
    <w:rsid w:val="00A75266"/>
    <w:rsid w:val="00A8135A"/>
    <w:rsid w:val="00A85645"/>
    <w:rsid w:val="00A90499"/>
    <w:rsid w:val="00A92404"/>
    <w:rsid w:val="00A97AEC"/>
    <w:rsid w:val="00AA1FAB"/>
    <w:rsid w:val="00AA2E2A"/>
    <w:rsid w:val="00AA3760"/>
    <w:rsid w:val="00AA5E88"/>
    <w:rsid w:val="00AB0B17"/>
    <w:rsid w:val="00AB2213"/>
    <w:rsid w:val="00AB32D3"/>
    <w:rsid w:val="00AC1117"/>
    <w:rsid w:val="00AD5639"/>
    <w:rsid w:val="00AE14F2"/>
    <w:rsid w:val="00AE1FBA"/>
    <w:rsid w:val="00AE4805"/>
    <w:rsid w:val="00AE6070"/>
    <w:rsid w:val="00AF164E"/>
    <w:rsid w:val="00AF1C33"/>
    <w:rsid w:val="00AF28E3"/>
    <w:rsid w:val="00AF78EC"/>
    <w:rsid w:val="00B0077B"/>
    <w:rsid w:val="00B010A5"/>
    <w:rsid w:val="00B0581E"/>
    <w:rsid w:val="00B07CE5"/>
    <w:rsid w:val="00B123D2"/>
    <w:rsid w:val="00B20216"/>
    <w:rsid w:val="00B20371"/>
    <w:rsid w:val="00B30F86"/>
    <w:rsid w:val="00B31A59"/>
    <w:rsid w:val="00B32748"/>
    <w:rsid w:val="00B340D8"/>
    <w:rsid w:val="00B47BC2"/>
    <w:rsid w:val="00B504ED"/>
    <w:rsid w:val="00B62DA0"/>
    <w:rsid w:val="00B66A03"/>
    <w:rsid w:val="00B813B5"/>
    <w:rsid w:val="00B81A72"/>
    <w:rsid w:val="00B857C6"/>
    <w:rsid w:val="00B86AB6"/>
    <w:rsid w:val="00B96E56"/>
    <w:rsid w:val="00BA2262"/>
    <w:rsid w:val="00BA7D94"/>
    <w:rsid w:val="00BB63F8"/>
    <w:rsid w:val="00BB6C90"/>
    <w:rsid w:val="00BC34D8"/>
    <w:rsid w:val="00BD338D"/>
    <w:rsid w:val="00BD58AC"/>
    <w:rsid w:val="00BD5B6D"/>
    <w:rsid w:val="00BE5689"/>
    <w:rsid w:val="00BE5C0F"/>
    <w:rsid w:val="00BE62A3"/>
    <w:rsid w:val="00BF0236"/>
    <w:rsid w:val="00BF7197"/>
    <w:rsid w:val="00C018C4"/>
    <w:rsid w:val="00C02A47"/>
    <w:rsid w:val="00C0798A"/>
    <w:rsid w:val="00C13A8C"/>
    <w:rsid w:val="00C14973"/>
    <w:rsid w:val="00C217B2"/>
    <w:rsid w:val="00C23DAF"/>
    <w:rsid w:val="00C24D25"/>
    <w:rsid w:val="00C27CD4"/>
    <w:rsid w:val="00C30252"/>
    <w:rsid w:val="00C314E4"/>
    <w:rsid w:val="00C320E8"/>
    <w:rsid w:val="00C36F3E"/>
    <w:rsid w:val="00C41606"/>
    <w:rsid w:val="00C45619"/>
    <w:rsid w:val="00C53AE8"/>
    <w:rsid w:val="00C5503C"/>
    <w:rsid w:val="00C60172"/>
    <w:rsid w:val="00C61043"/>
    <w:rsid w:val="00C61B15"/>
    <w:rsid w:val="00C61F6E"/>
    <w:rsid w:val="00C67EF5"/>
    <w:rsid w:val="00C7391D"/>
    <w:rsid w:val="00C77D7D"/>
    <w:rsid w:val="00C81201"/>
    <w:rsid w:val="00C82DD6"/>
    <w:rsid w:val="00C867A6"/>
    <w:rsid w:val="00C87EDB"/>
    <w:rsid w:val="00C91E15"/>
    <w:rsid w:val="00C9355F"/>
    <w:rsid w:val="00C97405"/>
    <w:rsid w:val="00CA06CB"/>
    <w:rsid w:val="00CA3E44"/>
    <w:rsid w:val="00CA4B8E"/>
    <w:rsid w:val="00CB4BA3"/>
    <w:rsid w:val="00CC3A8A"/>
    <w:rsid w:val="00CC448F"/>
    <w:rsid w:val="00CD07D1"/>
    <w:rsid w:val="00CD3CBD"/>
    <w:rsid w:val="00CD56FA"/>
    <w:rsid w:val="00CD5FFF"/>
    <w:rsid w:val="00CE5CD1"/>
    <w:rsid w:val="00CF202A"/>
    <w:rsid w:val="00CF3189"/>
    <w:rsid w:val="00CF46A9"/>
    <w:rsid w:val="00CF67E1"/>
    <w:rsid w:val="00CF7313"/>
    <w:rsid w:val="00D07C93"/>
    <w:rsid w:val="00D12D8B"/>
    <w:rsid w:val="00D13550"/>
    <w:rsid w:val="00D2019D"/>
    <w:rsid w:val="00D23BF5"/>
    <w:rsid w:val="00D375A3"/>
    <w:rsid w:val="00D460E9"/>
    <w:rsid w:val="00D5010D"/>
    <w:rsid w:val="00D5205A"/>
    <w:rsid w:val="00D57C0B"/>
    <w:rsid w:val="00D63D3C"/>
    <w:rsid w:val="00D71DE7"/>
    <w:rsid w:val="00D7207B"/>
    <w:rsid w:val="00D738E8"/>
    <w:rsid w:val="00D76775"/>
    <w:rsid w:val="00D77905"/>
    <w:rsid w:val="00D80C93"/>
    <w:rsid w:val="00D83188"/>
    <w:rsid w:val="00D91F2D"/>
    <w:rsid w:val="00D94856"/>
    <w:rsid w:val="00DA01B5"/>
    <w:rsid w:val="00DA06A7"/>
    <w:rsid w:val="00DA56C5"/>
    <w:rsid w:val="00DA5E95"/>
    <w:rsid w:val="00DA644F"/>
    <w:rsid w:val="00DB1546"/>
    <w:rsid w:val="00DB1B10"/>
    <w:rsid w:val="00DB6E40"/>
    <w:rsid w:val="00DC2FEE"/>
    <w:rsid w:val="00DC6BE4"/>
    <w:rsid w:val="00DD08EC"/>
    <w:rsid w:val="00DD4BAC"/>
    <w:rsid w:val="00DF181F"/>
    <w:rsid w:val="00DF2417"/>
    <w:rsid w:val="00DF2B99"/>
    <w:rsid w:val="00DF75F3"/>
    <w:rsid w:val="00E04341"/>
    <w:rsid w:val="00E206D4"/>
    <w:rsid w:val="00E21FF9"/>
    <w:rsid w:val="00E27045"/>
    <w:rsid w:val="00E30F96"/>
    <w:rsid w:val="00E327EE"/>
    <w:rsid w:val="00E4153A"/>
    <w:rsid w:val="00E524DA"/>
    <w:rsid w:val="00E54787"/>
    <w:rsid w:val="00E54955"/>
    <w:rsid w:val="00E6017C"/>
    <w:rsid w:val="00E67511"/>
    <w:rsid w:val="00E67A61"/>
    <w:rsid w:val="00E70229"/>
    <w:rsid w:val="00E727F6"/>
    <w:rsid w:val="00E73D68"/>
    <w:rsid w:val="00E802A3"/>
    <w:rsid w:val="00E84B5E"/>
    <w:rsid w:val="00E87A60"/>
    <w:rsid w:val="00E90F14"/>
    <w:rsid w:val="00E95CB2"/>
    <w:rsid w:val="00EA2AB7"/>
    <w:rsid w:val="00EB0425"/>
    <w:rsid w:val="00EB0717"/>
    <w:rsid w:val="00EB0C92"/>
    <w:rsid w:val="00EC05CE"/>
    <w:rsid w:val="00EC38BC"/>
    <w:rsid w:val="00EC6FF1"/>
    <w:rsid w:val="00ED1254"/>
    <w:rsid w:val="00ED2D8E"/>
    <w:rsid w:val="00ED5575"/>
    <w:rsid w:val="00ED5E70"/>
    <w:rsid w:val="00ED6971"/>
    <w:rsid w:val="00EE06AE"/>
    <w:rsid w:val="00EE0EBF"/>
    <w:rsid w:val="00EE35C8"/>
    <w:rsid w:val="00EE361D"/>
    <w:rsid w:val="00EE55B2"/>
    <w:rsid w:val="00EE6E30"/>
    <w:rsid w:val="00EE78AF"/>
    <w:rsid w:val="00EF4767"/>
    <w:rsid w:val="00F00A31"/>
    <w:rsid w:val="00F046D5"/>
    <w:rsid w:val="00F047DF"/>
    <w:rsid w:val="00F07340"/>
    <w:rsid w:val="00F10200"/>
    <w:rsid w:val="00F10B81"/>
    <w:rsid w:val="00F11C81"/>
    <w:rsid w:val="00F14F0F"/>
    <w:rsid w:val="00F23168"/>
    <w:rsid w:val="00F24EAD"/>
    <w:rsid w:val="00F504D9"/>
    <w:rsid w:val="00F537B3"/>
    <w:rsid w:val="00F5469A"/>
    <w:rsid w:val="00F56240"/>
    <w:rsid w:val="00F57F95"/>
    <w:rsid w:val="00F6291C"/>
    <w:rsid w:val="00F670E0"/>
    <w:rsid w:val="00F717B6"/>
    <w:rsid w:val="00F83558"/>
    <w:rsid w:val="00F86DB9"/>
    <w:rsid w:val="00F92DBA"/>
    <w:rsid w:val="00F9552F"/>
    <w:rsid w:val="00F97E3A"/>
    <w:rsid w:val="00FA11BF"/>
    <w:rsid w:val="00FA33C0"/>
    <w:rsid w:val="00FB15B9"/>
    <w:rsid w:val="00FB16AD"/>
    <w:rsid w:val="00FB5D31"/>
    <w:rsid w:val="00FB7856"/>
    <w:rsid w:val="00FD196B"/>
    <w:rsid w:val="00FE0692"/>
    <w:rsid w:val="00FE22D1"/>
    <w:rsid w:val="00FE3E3D"/>
    <w:rsid w:val="00FE6132"/>
    <w:rsid w:val="00FE6E69"/>
    <w:rsid w:val="00FF37F9"/>
    <w:rsid w:val="00FF4E73"/>
    <w:rsid w:val="00FF720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D8C64"/>
  <w15:docId w15:val="{0A86834E-7BF5-45F1-B13E-0D1AE68A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F12"/>
    <w:pPr>
      <w:spacing w:after="0"/>
      <w:ind w:left="1077"/>
      <w:jc w:val="both"/>
    </w:pPr>
    <w:rPr>
      <w:rFonts w:ascii="Calibri" w:eastAsia="Calibri" w:hAnsi="Calibri"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3C3067"/>
    <w:pPr>
      <w:tabs>
        <w:tab w:val="center" w:pos="4819"/>
        <w:tab w:val="right" w:pos="9638"/>
      </w:tabs>
    </w:pPr>
  </w:style>
  <w:style w:type="character" w:customStyle="1" w:styleId="IntestazioneCarattere">
    <w:name w:val="Intestazione Carattere"/>
    <w:basedOn w:val="Carpredefinitoparagrafo"/>
    <w:link w:val="Intestazione"/>
    <w:rsid w:val="003C3067"/>
  </w:style>
  <w:style w:type="paragraph" w:styleId="Pidipagina">
    <w:name w:val="footer"/>
    <w:basedOn w:val="Normale"/>
    <w:link w:val="PidipaginaCarattere"/>
    <w:unhideWhenUsed/>
    <w:rsid w:val="003C3067"/>
    <w:pPr>
      <w:tabs>
        <w:tab w:val="center" w:pos="4819"/>
        <w:tab w:val="right" w:pos="9638"/>
      </w:tabs>
    </w:pPr>
  </w:style>
  <w:style w:type="character" w:customStyle="1" w:styleId="PidipaginaCarattere">
    <w:name w:val="Piè di pagina Carattere"/>
    <w:basedOn w:val="Carpredefinitoparagrafo"/>
    <w:link w:val="Pidipagina"/>
    <w:rsid w:val="003C3067"/>
  </w:style>
  <w:style w:type="paragraph" w:styleId="Testofumetto">
    <w:name w:val="Balloon Text"/>
    <w:basedOn w:val="Normale"/>
    <w:link w:val="TestofumettoCarattere"/>
    <w:unhideWhenUsed/>
    <w:rsid w:val="003C3067"/>
    <w:rPr>
      <w:rFonts w:ascii="Lucida Grande" w:hAnsi="Lucida Grande"/>
      <w:sz w:val="18"/>
      <w:szCs w:val="18"/>
    </w:rPr>
  </w:style>
  <w:style w:type="character" w:customStyle="1" w:styleId="TestofumettoCarattere">
    <w:name w:val="Testo fumetto Carattere"/>
    <w:basedOn w:val="Carpredefinitoparagrafo"/>
    <w:link w:val="Testofumetto"/>
    <w:rsid w:val="003C3067"/>
    <w:rPr>
      <w:rFonts w:ascii="Lucida Grande" w:hAnsi="Lucida Grande"/>
      <w:sz w:val="18"/>
      <w:szCs w:val="18"/>
    </w:rPr>
  </w:style>
  <w:style w:type="paragraph" w:styleId="NormaleWeb">
    <w:name w:val="Normal (Web)"/>
    <w:basedOn w:val="Normale"/>
    <w:uiPriority w:val="99"/>
    <w:semiHidden/>
    <w:unhideWhenUsed/>
    <w:rsid w:val="003C3067"/>
    <w:pPr>
      <w:spacing w:before="100" w:beforeAutospacing="1" w:after="100" w:afterAutospacing="1"/>
    </w:pPr>
    <w:rPr>
      <w:rFonts w:ascii="Times" w:hAnsi="Times"/>
      <w:sz w:val="20"/>
      <w:szCs w:val="20"/>
      <w:lang w:eastAsia="it-IT"/>
    </w:rPr>
  </w:style>
  <w:style w:type="paragraph" w:customStyle="1" w:styleId="titoloinformativa">
    <w:name w:val="titolo informativa"/>
    <w:rsid w:val="00557188"/>
    <w:pPr>
      <w:spacing w:after="0" w:line="320" w:lineRule="exact"/>
      <w:jc w:val="center"/>
    </w:pPr>
    <w:rPr>
      <w:rFonts w:ascii="PT Sans" w:eastAsia="Times New Roman" w:hAnsi="PT Sans" w:cs="Times New Roman"/>
      <w:b/>
      <w:bCs/>
      <w:szCs w:val="20"/>
      <w:lang w:eastAsia="it-IT"/>
    </w:rPr>
  </w:style>
  <w:style w:type="paragraph" w:customStyle="1" w:styleId="corpotestoinformativa">
    <w:name w:val="corpo testo informativa"/>
    <w:link w:val="corpotestoinformativaCarattere"/>
    <w:rsid w:val="00557188"/>
    <w:pPr>
      <w:spacing w:after="0" w:line="320" w:lineRule="exact"/>
      <w:jc w:val="both"/>
    </w:pPr>
    <w:rPr>
      <w:rFonts w:ascii="PT Sans" w:eastAsia="Times New Roman" w:hAnsi="PT Sans" w:cs="Times New Roman"/>
      <w:sz w:val="22"/>
      <w:szCs w:val="20"/>
      <w:lang w:eastAsia="it-IT"/>
    </w:rPr>
  </w:style>
  <w:style w:type="character" w:customStyle="1" w:styleId="firma">
    <w:name w:val="firma"/>
    <w:rsid w:val="00557188"/>
    <w:rPr>
      <w:rFonts w:ascii="PT Sans" w:hAnsi="PT Sans"/>
      <w:b/>
      <w:bCs/>
      <w:i/>
      <w:iCs/>
    </w:rPr>
  </w:style>
  <w:style w:type="paragraph" w:customStyle="1" w:styleId="xmsonormal">
    <w:name w:val="x_msonormal"/>
    <w:basedOn w:val="Normale"/>
    <w:rsid w:val="003C52AC"/>
    <w:pPr>
      <w:spacing w:before="100" w:beforeAutospacing="1" w:after="100" w:afterAutospacing="1"/>
      <w:ind w:left="0"/>
      <w:jc w:val="left"/>
    </w:pPr>
    <w:rPr>
      <w:rFonts w:eastAsiaTheme="minorHAnsi" w:cs="Calibri"/>
      <w:lang w:eastAsia="it-IT"/>
    </w:rPr>
  </w:style>
  <w:style w:type="paragraph" w:customStyle="1" w:styleId="wkit-indentation-level-0">
    <w:name w:val="wkit-indentation-level-0"/>
    <w:basedOn w:val="Normale"/>
    <w:rsid w:val="00E84B5E"/>
    <w:pPr>
      <w:spacing w:before="100" w:beforeAutospacing="1" w:after="100" w:afterAutospacing="1"/>
      <w:ind w:left="0"/>
      <w:jc w:val="left"/>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E84B5E"/>
    <w:rPr>
      <w:color w:val="0000FF"/>
      <w:u w:val="single"/>
    </w:rPr>
  </w:style>
  <w:style w:type="character" w:customStyle="1" w:styleId="wkit-bold">
    <w:name w:val="wkit-bold"/>
    <w:basedOn w:val="Carpredefinitoparagrafo"/>
    <w:rsid w:val="00E84B5E"/>
  </w:style>
  <w:style w:type="character" w:customStyle="1" w:styleId="corpotestoinformativaCarattere">
    <w:name w:val="corpo testo informativa Carattere"/>
    <w:link w:val="corpotestoinformativa"/>
    <w:rsid w:val="002A0F58"/>
    <w:rPr>
      <w:rFonts w:ascii="PT Sans" w:eastAsia="Times New Roman" w:hAnsi="PT Sans" w:cs="Times New Roman"/>
      <w:sz w:val="22"/>
      <w:szCs w:val="20"/>
      <w:lang w:eastAsia="it-IT"/>
    </w:rPr>
  </w:style>
  <w:style w:type="paragraph" w:customStyle="1" w:styleId="paragrafo">
    <w:name w:val="paragrafo"/>
    <w:basedOn w:val="corpotestoinformativa"/>
    <w:rsid w:val="00584D60"/>
    <w:rPr>
      <w:b/>
      <w:color w:val="D2232A"/>
    </w:rPr>
  </w:style>
  <w:style w:type="paragraph" w:customStyle="1" w:styleId="rubrica">
    <w:name w:val="rubrica"/>
    <w:rsid w:val="00584D60"/>
    <w:pPr>
      <w:spacing w:after="0" w:line="320" w:lineRule="exact"/>
    </w:pPr>
    <w:rPr>
      <w:rFonts w:ascii="PT Sans" w:eastAsia="Times New Roman" w:hAnsi="PT Sans" w:cs="Arial"/>
      <w:b/>
      <w:sz w:val="32"/>
      <w:szCs w:val="32"/>
      <w:lang w:eastAsia="it-IT"/>
    </w:rPr>
  </w:style>
  <w:style w:type="paragraph" w:customStyle="1" w:styleId="sottoparagrafo">
    <w:name w:val="sottoparagrafo"/>
    <w:basedOn w:val="NormaleWeb"/>
    <w:rsid w:val="00584D60"/>
    <w:pPr>
      <w:numPr>
        <w:numId w:val="10"/>
      </w:numPr>
      <w:ind w:left="1077"/>
    </w:pPr>
  </w:style>
  <w:style w:type="paragraph" w:customStyle="1" w:styleId="testopuntoelenco">
    <w:name w:val="testo punto elenco"/>
    <w:basedOn w:val="corpotestoinformativa"/>
    <w:rsid w:val="00584D60"/>
    <w:pPr>
      <w:numPr>
        <w:numId w:val="3"/>
      </w:numPr>
    </w:pPr>
    <w:rPr>
      <w:rFonts w:cs="Arial"/>
      <w:szCs w:val="22"/>
    </w:rPr>
  </w:style>
  <w:style w:type="paragraph" w:customStyle="1" w:styleId="sottotitolotabellasfondochiaro">
    <w:name w:val="sottotitolo tabella sfondo chiaro"/>
    <w:basedOn w:val="Normale"/>
    <w:uiPriority w:val="11"/>
    <w:qFormat/>
    <w:rsid w:val="00584D60"/>
    <w:pPr>
      <w:spacing w:line="280" w:lineRule="exact"/>
      <w:ind w:left="0"/>
      <w:jc w:val="center"/>
    </w:pPr>
    <w:rPr>
      <w:rFonts w:ascii="PT Sans" w:eastAsia="Times New Roman" w:hAnsi="PT Sans"/>
      <w:color w:val="000000"/>
      <w:sz w:val="20"/>
      <w:szCs w:val="20"/>
      <w:lang w:eastAsia="it-IT"/>
    </w:rPr>
  </w:style>
  <w:style w:type="paragraph" w:customStyle="1" w:styleId="titolotabellasfondoscuro">
    <w:name w:val="titolo tabella sfondo scuro"/>
    <w:basedOn w:val="sottotitolotabellasfondochiaro"/>
    <w:uiPriority w:val="9"/>
    <w:qFormat/>
    <w:rsid w:val="00584D60"/>
    <w:pPr>
      <w:spacing w:line="320" w:lineRule="exact"/>
    </w:pPr>
    <w:rPr>
      <w:b/>
    </w:rPr>
  </w:style>
  <w:style w:type="paragraph" w:customStyle="1" w:styleId="testotabella10">
    <w:name w:val="testo tabella 10"/>
    <w:basedOn w:val="Normale"/>
    <w:qFormat/>
    <w:rsid w:val="00584D60"/>
    <w:pPr>
      <w:spacing w:line="320" w:lineRule="exact"/>
      <w:ind w:left="0"/>
    </w:pPr>
    <w:rPr>
      <w:rFonts w:ascii="PT Sans" w:eastAsia="Times New Roman" w:hAnsi="PT Sans"/>
      <w:color w:val="000000"/>
      <w:sz w:val="20"/>
      <w:szCs w:val="20"/>
      <w:lang w:eastAsia="it-IT"/>
    </w:rPr>
  </w:style>
  <w:style w:type="table" w:customStyle="1" w:styleId="Stile8">
    <w:name w:val="Stile8"/>
    <w:basedOn w:val="Tabellanormale"/>
    <w:uiPriority w:val="99"/>
    <w:rsid w:val="00584D60"/>
    <w:pPr>
      <w:spacing w:after="0"/>
    </w:pPr>
    <w:rPr>
      <w:rFonts w:ascii="Calibri" w:eastAsia="Calibri" w:hAnsi="Calibri" w:cs="Times New Roman"/>
      <w:sz w:val="20"/>
      <w:szCs w:val="20"/>
      <w:lang w:eastAsia="it-IT"/>
    </w:rPr>
    <w:tblPr>
      <w:tblBorders>
        <w:top w:val="single" w:sz="4" w:space="0" w:color="A40037"/>
        <w:left w:val="single" w:sz="4" w:space="0" w:color="A40037"/>
        <w:bottom w:val="single" w:sz="4" w:space="0" w:color="A40037"/>
        <w:right w:val="single" w:sz="4" w:space="0" w:color="A40037"/>
        <w:insideH w:val="single" w:sz="4" w:space="0" w:color="A40037"/>
        <w:insideV w:val="single" w:sz="4" w:space="0" w:color="A40037"/>
      </w:tblBorders>
    </w:tblPr>
    <w:tblStylePr w:type="firstRow">
      <w:tblPr/>
      <w:tcPr>
        <w:shd w:val="clear" w:color="auto" w:fill="FF5353"/>
      </w:tcPr>
    </w:tblStylePr>
  </w:style>
  <w:style w:type="paragraph" w:customStyle="1" w:styleId="macrotemabox">
    <w:name w:val="macrotema box"/>
    <w:rsid w:val="00584D60"/>
    <w:pPr>
      <w:spacing w:after="0" w:line="280" w:lineRule="exact"/>
      <w:jc w:val="center"/>
    </w:pPr>
    <w:rPr>
      <w:rFonts w:ascii="PT Sans" w:eastAsia="Times New Roman" w:hAnsi="PT Sans" w:cs="Times New Roman"/>
      <w:b/>
      <w:bCs/>
      <w:iCs/>
      <w:smallCaps/>
      <w:color w:val="FFFFFF"/>
      <w:sz w:val="32"/>
      <w:szCs w:val="20"/>
      <w:lang w:eastAsia="it-IT"/>
    </w:rPr>
  </w:style>
  <w:style w:type="paragraph" w:customStyle="1" w:styleId="testoflash">
    <w:name w:val="testo flash"/>
    <w:basedOn w:val="corpotestoinformativa"/>
    <w:rsid w:val="00584D60"/>
  </w:style>
  <w:style w:type="paragraph" w:customStyle="1" w:styleId="fonteflash">
    <w:name w:val="fonte flash"/>
    <w:basedOn w:val="Normale"/>
    <w:rsid w:val="00584D60"/>
    <w:pPr>
      <w:spacing w:before="60" w:after="40" w:line="320" w:lineRule="exact"/>
      <w:ind w:left="0"/>
      <w:jc w:val="right"/>
    </w:pPr>
    <w:rPr>
      <w:rFonts w:ascii="PT Sans" w:eastAsia="Times New Roman" w:hAnsi="PT Sans"/>
      <w:b/>
      <w:bCs/>
      <w:sz w:val="20"/>
      <w:szCs w:val="20"/>
      <w:lang w:eastAsia="it-IT"/>
    </w:rPr>
  </w:style>
  <w:style w:type="paragraph" w:customStyle="1" w:styleId="titoloflash">
    <w:name w:val="titolo flash"/>
    <w:rsid w:val="00584D60"/>
    <w:pPr>
      <w:spacing w:after="0" w:line="320" w:lineRule="exact"/>
    </w:pPr>
    <w:rPr>
      <w:rFonts w:ascii="PT Sans" w:eastAsia="Times New Roman" w:hAnsi="PT Sans" w:cs="Times New Roman"/>
      <w:b/>
      <w:bCs/>
      <w:sz w:val="22"/>
      <w:szCs w:val="20"/>
      <w:lang w:eastAsia="it-IT"/>
    </w:rPr>
  </w:style>
  <w:style w:type="paragraph" w:customStyle="1" w:styleId="flash2TITOLO">
    <w:name w:val="flash 2 TITOLO"/>
    <w:basedOn w:val="Normale"/>
    <w:uiPriority w:val="1"/>
    <w:rsid w:val="00584D60"/>
    <w:pPr>
      <w:widowControl w:val="0"/>
      <w:autoSpaceDE w:val="0"/>
      <w:autoSpaceDN w:val="0"/>
      <w:adjustRightInd w:val="0"/>
      <w:ind w:left="0"/>
      <w:textAlignment w:val="center"/>
    </w:pPr>
    <w:rPr>
      <w:rFonts w:ascii="PT Sans" w:eastAsia="Times New Roman" w:hAnsi="PT Sans" w:cs="Calibri"/>
      <w:b/>
      <w:bCs/>
      <w:color w:val="000000"/>
      <w:szCs w:val="24"/>
      <w:lang w:eastAsia="it-IT"/>
    </w:rPr>
  </w:style>
  <w:style w:type="paragraph" w:customStyle="1" w:styleId="flash3TESTO">
    <w:name w:val="flash 3 TESTO"/>
    <w:basedOn w:val="Normale"/>
    <w:uiPriority w:val="1"/>
    <w:rsid w:val="00584D60"/>
    <w:pPr>
      <w:widowControl w:val="0"/>
      <w:autoSpaceDE w:val="0"/>
      <w:autoSpaceDN w:val="0"/>
      <w:adjustRightInd w:val="0"/>
      <w:ind w:left="0"/>
      <w:textAlignment w:val="center"/>
    </w:pPr>
    <w:rPr>
      <w:rFonts w:ascii="PT Sans" w:eastAsia="Times New Roman" w:hAnsi="PT Sans" w:cs="Calibri"/>
      <w:color w:val="000000"/>
      <w:lang w:eastAsia="it-IT"/>
    </w:rPr>
  </w:style>
  <w:style w:type="character" w:styleId="Numeropagina">
    <w:name w:val="page number"/>
    <w:rsid w:val="00584D60"/>
    <w:rPr>
      <w:rFonts w:ascii="PT Sans" w:hAnsi="PT Sans"/>
    </w:rPr>
  </w:style>
  <w:style w:type="character" w:customStyle="1" w:styleId="titolirubricheindice">
    <w:name w:val="titoli rubriche indice"/>
    <w:rsid w:val="00584D60"/>
    <w:rPr>
      <w:rFonts w:ascii="PT Sans" w:hAnsi="PT Sans"/>
      <w:b/>
      <w:bCs/>
      <w:color w:val="D2232A"/>
      <w:sz w:val="28"/>
    </w:rPr>
  </w:style>
  <w:style w:type="paragraph" w:customStyle="1" w:styleId="spaziotrascadenzeccnl">
    <w:name w:val="spazio tra scadenze ccnl"/>
    <w:basedOn w:val="Normale"/>
    <w:qFormat/>
    <w:rsid w:val="00584D60"/>
    <w:pPr>
      <w:ind w:left="0"/>
      <w:jc w:val="left"/>
    </w:pPr>
    <w:rPr>
      <w:rFonts w:ascii="PT Sans" w:eastAsia="Times New Roman" w:hAnsi="PT Sans"/>
      <w:sz w:val="16"/>
      <w:szCs w:val="16"/>
      <w:lang w:eastAsia="it-IT"/>
    </w:rPr>
  </w:style>
  <w:style w:type="paragraph" w:customStyle="1" w:styleId="puntielenconumeri">
    <w:name w:val="punti elenco numeri"/>
    <w:rsid w:val="00584D60"/>
    <w:pPr>
      <w:numPr>
        <w:numId w:val="4"/>
      </w:numPr>
      <w:shd w:val="clear" w:color="auto" w:fill="FFFFFF"/>
      <w:spacing w:after="0" w:line="320" w:lineRule="exact"/>
      <w:ind w:left="357" w:hanging="357"/>
      <w:jc w:val="both"/>
    </w:pPr>
    <w:rPr>
      <w:rFonts w:ascii="PT Sans" w:eastAsia="Times New Roman" w:hAnsi="PT Sans" w:cs="Arial"/>
      <w:sz w:val="22"/>
      <w:szCs w:val="22"/>
      <w:lang w:eastAsia="it-IT"/>
    </w:rPr>
  </w:style>
  <w:style w:type="paragraph" w:customStyle="1" w:styleId="Titoloscadenza">
    <w:name w:val="Titolo scadenza"/>
    <w:rsid w:val="00584D60"/>
    <w:pPr>
      <w:spacing w:after="0" w:line="320" w:lineRule="exact"/>
      <w:jc w:val="both"/>
    </w:pPr>
    <w:rPr>
      <w:rFonts w:ascii="PT Sans" w:eastAsia="Times New Roman" w:hAnsi="PT Sans" w:cs="Times New Roman"/>
      <w:b/>
      <w:bCs/>
      <w:color w:val="000000"/>
      <w:sz w:val="22"/>
      <w:szCs w:val="20"/>
      <w:lang w:eastAsia="it-IT"/>
    </w:rPr>
  </w:style>
  <w:style w:type="paragraph" w:customStyle="1" w:styleId="puntoelencolettera">
    <w:name w:val="punto elenco lettera"/>
    <w:basedOn w:val="testopuntoelenco"/>
    <w:qFormat/>
    <w:rsid w:val="00584D60"/>
    <w:pPr>
      <w:numPr>
        <w:numId w:val="5"/>
      </w:numPr>
    </w:pPr>
  </w:style>
  <w:style w:type="paragraph" w:customStyle="1" w:styleId="testotabella10ok">
    <w:name w:val="testo tabella 10 ok"/>
    <w:basedOn w:val="Normale"/>
    <w:uiPriority w:val="5"/>
    <w:qFormat/>
    <w:rsid w:val="00584D60"/>
    <w:pPr>
      <w:spacing w:line="280" w:lineRule="atLeast"/>
      <w:ind w:left="0"/>
    </w:pPr>
    <w:rPr>
      <w:rFonts w:ascii="PT Sans" w:eastAsia="Times New Roman" w:hAnsi="PT Sans"/>
      <w:color w:val="000000"/>
      <w:sz w:val="20"/>
      <w:szCs w:val="20"/>
      <w:lang w:eastAsia="it-IT"/>
    </w:rPr>
  </w:style>
  <w:style w:type="paragraph" w:customStyle="1" w:styleId="testotabella10g">
    <w:name w:val="testo tabella 10 g"/>
    <w:basedOn w:val="testotabella10ok"/>
    <w:uiPriority w:val="5"/>
    <w:qFormat/>
    <w:rsid w:val="00584D60"/>
    <w:pPr>
      <w:jc w:val="center"/>
    </w:pPr>
    <w:rPr>
      <w:b/>
    </w:rPr>
  </w:style>
  <w:style w:type="paragraph" w:customStyle="1" w:styleId="puntielencotabella">
    <w:name w:val="punti elenco tabella"/>
    <w:basedOn w:val="puntielenconumeri"/>
    <w:qFormat/>
    <w:rsid w:val="00584D60"/>
    <w:pPr>
      <w:numPr>
        <w:numId w:val="2"/>
      </w:numPr>
      <w:spacing w:line="280" w:lineRule="atLeast"/>
      <w:ind w:left="357" w:hanging="357"/>
    </w:pPr>
    <w:rPr>
      <w:rFonts w:eastAsia="Calibri"/>
      <w:sz w:val="20"/>
      <w:szCs w:val="20"/>
    </w:rPr>
  </w:style>
  <w:style w:type="paragraph" w:customStyle="1" w:styleId="puntoelencotabellapallino">
    <w:name w:val="punto elenco tabella pallino"/>
    <w:basedOn w:val="testopuntoelenco"/>
    <w:qFormat/>
    <w:rsid w:val="00584D60"/>
    <w:pPr>
      <w:numPr>
        <w:numId w:val="1"/>
      </w:numPr>
      <w:spacing w:line="280" w:lineRule="atLeast"/>
    </w:pPr>
    <w:rPr>
      <w:rFonts w:eastAsia="Calibri"/>
      <w:sz w:val="20"/>
      <w:szCs w:val="20"/>
    </w:rPr>
  </w:style>
  <w:style w:type="paragraph" w:customStyle="1" w:styleId="testotabellapallino">
    <w:name w:val="testo tabella pallino"/>
    <w:basedOn w:val="Normale"/>
    <w:uiPriority w:val="13"/>
    <w:qFormat/>
    <w:rsid w:val="00584D60"/>
    <w:pPr>
      <w:numPr>
        <w:numId w:val="6"/>
      </w:numPr>
      <w:spacing w:line="320" w:lineRule="exact"/>
      <w:jc w:val="left"/>
    </w:pPr>
    <w:rPr>
      <w:rFonts w:ascii="PT Sans" w:eastAsia="Times New Roman" w:hAnsi="PT Sans"/>
      <w:szCs w:val="24"/>
      <w:lang w:eastAsia="it-IT"/>
    </w:rPr>
  </w:style>
  <w:style w:type="character" w:styleId="Enfasicorsivo">
    <w:name w:val="Emphasis"/>
    <w:uiPriority w:val="20"/>
    <w:qFormat/>
    <w:rsid w:val="00584D60"/>
    <w:rPr>
      <w:i/>
      <w:iCs/>
    </w:rPr>
  </w:style>
  <w:style w:type="paragraph" w:customStyle="1" w:styleId="flash5fontenotizianolink">
    <w:name w:val="flash 5 fonte notizia no link"/>
    <w:basedOn w:val="Normale"/>
    <w:uiPriority w:val="1"/>
    <w:rsid w:val="00584D60"/>
    <w:pPr>
      <w:widowControl w:val="0"/>
      <w:autoSpaceDE w:val="0"/>
      <w:autoSpaceDN w:val="0"/>
      <w:adjustRightInd w:val="0"/>
      <w:spacing w:before="20"/>
      <w:ind w:left="0"/>
      <w:jc w:val="right"/>
      <w:textAlignment w:val="center"/>
    </w:pPr>
    <w:rPr>
      <w:rFonts w:ascii="PT Sans" w:eastAsia="Times New Roman" w:hAnsi="PT Sans" w:cs="Calibri-Bold"/>
      <w:bCs/>
      <w:color w:val="000000"/>
      <w:sz w:val="20"/>
      <w:szCs w:val="20"/>
      <w:lang w:eastAsia="it-IT"/>
    </w:rPr>
  </w:style>
  <w:style w:type="table" w:styleId="Grigliatabella">
    <w:name w:val="Table Grid"/>
    <w:basedOn w:val="Tabellanormale"/>
    <w:uiPriority w:val="59"/>
    <w:rsid w:val="00584D60"/>
    <w:pPr>
      <w:spacing w:after="0"/>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tielencoletterea">
    <w:name w:val="punti elenco lettere a)"/>
    <w:basedOn w:val="Normale"/>
    <w:qFormat/>
    <w:rsid w:val="00584D60"/>
    <w:pPr>
      <w:numPr>
        <w:numId w:val="7"/>
      </w:numPr>
      <w:shd w:val="clear" w:color="auto" w:fill="FFFFFF"/>
      <w:spacing w:line="320" w:lineRule="exact"/>
      <w:ind w:left="227" w:hanging="227"/>
    </w:pPr>
    <w:rPr>
      <w:rFonts w:ascii="PT Sans" w:eastAsia="Times New Roman" w:hAnsi="PT Sans" w:cs="Arial"/>
      <w:lang w:eastAsia="it-IT"/>
    </w:rPr>
  </w:style>
  <w:style w:type="paragraph" w:customStyle="1" w:styleId="indice">
    <w:name w:val="indice"/>
    <w:basedOn w:val="Normale"/>
    <w:rsid w:val="00584D60"/>
    <w:pPr>
      <w:spacing w:line="320" w:lineRule="exact"/>
      <w:ind w:left="0" w:right="252"/>
    </w:pPr>
    <w:rPr>
      <w:rFonts w:ascii="PT Sans" w:eastAsia="Times New Roman" w:hAnsi="PT Sans" w:cs="Arial"/>
      <w:lang w:eastAsia="it-IT"/>
    </w:rPr>
  </w:style>
  <w:style w:type="paragraph" w:styleId="Corpotesto">
    <w:name w:val="Body Text"/>
    <w:basedOn w:val="Normale"/>
    <w:link w:val="CorpotestoCarattere"/>
    <w:unhideWhenUsed/>
    <w:rsid w:val="00584D60"/>
    <w:pPr>
      <w:spacing w:after="120"/>
      <w:ind w:left="0"/>
      <w:jc w:val="left"/>
    </w:pPr>
    <w:rPr>
      <w:rFonts w:ascii="Times New Roman" w:eastAsia="Times New Roman" w:hAnsi="Times New Roman"/>
      <w:sz w:val="24"/>
      <w:szCs w:val="24"/>
      <w:lang w:eastAsia="it-IT"/>
    </w:rPr>
  </w:style>
  <w:style w:type="character" w:customStyle="1" w:styleId="CorpotestoCarattere">
    <w:name w:val="Corpo testo Carattere"/>
    <w:basedOn w:val="Carpredefinitoparagrafo"/>
    <w:link w:val="Corpotesto"/>
    <w:rsid w:val="00584D60"/>
    <w:rPr>
      <w:rFonts w:ascii="Times New Roman" w:eastAsia="Times New Roman" w:hAnsi="Times New Roman" w:cs="Times New Roman"/>
      <w:lang w:eastAsia="it-IT"/>
    </w:rPr>
  </w:style>
  <w:style w:type="paragraph" w:customStyle="1" w:styleId="TableParagraph">
    <w:name w:val="Table Paragraph"/>
    <w:basedOn w:val="Normale"/>
    <w:uiPriority w:val="1"/>
    <w:qFormat/>
    <w:rsid w:val="00584D60"/>
    <w:pPr>
      <w:widowControl w:val="0"/>
      <w:autoSpaceDE w:val="0"/>
      <w:autoSpaceDN w:val="0"/>
      <w:adjustRightInd w:val="0"/>
      <w:spacing w:before="52"/>
      <w:ind w:left="110"/>
      <w:jc w:val="left"/>
    </w:pPr>
    <w:rPr>
      <w:rFonts w:ascii="Arial" w:eastAsia="Times New Roman" w:hAnsi="Arial" w:cs="Arial"/>
      <w:sz w:val="24"/>
      <w:szCs w:val="24"/>
      <w:lang w:eastAsia="it-IT"/>
    </w:rPr>
  </w:style>
  <w:style w:type="paragraph" w:customStyle="1" w:styleId="Default">
    <w:name w:val="Default"/>
    <w:rsid w:val="00584D60"/>
    <w:pPr>
      <w:autoSpaceDE w:val="0"/>
      <w:autoSpaceDN w:val="0"/>
      <w:adjustRightInd w:val="0"/>
      <w:spacing w:after="0"/>
    </w:pPr>
    <w:rPr>
      <w:rFonts w:ascii="Verdana" w:eastAsia="Times New Roman" w:hAnsi="Verdana" w:cs="Verdana"/>
      <w:color w:val="000000"/>
      <w:lang w:eastAsia="it-IT"/>
    </w:rPr>
  </w:style>
  <w:style w:type="character" w:styleId="Menzionenonrisolta">
    <w:name w:val="Unresolved Mention"/>
    <w:uiPriority w:val="99"/>
    <w:semiHidden/>
    <w:unhideWhenUsed/>
    <w:rsid w:val="00584D60"/>
    <w:rPr>
      <w:color w:val="605E5C"/>
      <w:shd w:val="clear" w:color="auto" w:fill="E1DFDD"/>
    </w:rPr>
  </w:style>
  <w:style w:type="paragraph" w:styleId="PreformattatoHTML">
    <w:name w:val="HTML Preformatted"/>
    <w:basedOn w:val="Normale"/>
    <w:link w:val="PreformattatoHTMLCarattere"/>
    <w:uiPriority w:val="99"/>
    <w:unhideWhenUsed/>
    <w:rsid w:val="0058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584D60"/>
    <w:rPr>
      <w:rFonts w:ascii="Courier New" w:eastAsia="Times New Roman" w:hAnsi="Courier New" w:cs="Courier New"/>
      <w:sz w:val="20"/>
      <w:szCs w:val="20"/>
      <w:lang w:eastAsia="it-IT"/>
    </w:rPr>
  </w:style>
  <w:style w:type="character" w:styleId="Collegamentovisitato">
    <w:name w:val="FollowedHyperlink"/>
    <w:uiPriority w:val="99"/>
    <w:unhideWhenUsed/>
    <w:rsid w:val="00584D60"/>
    <w:rPr>
      <w:color w:val="954F72"/>
      <w:u w:val="single"/>
    </w:rPr>
  </w:style>
  <w:style w:type="paragraph" w:customStyle="1" w:styleId="puntoelencopallino">
    <w:name w:val="punto elenco pallino"/>
    <w:basedOn w:val="Normale"/>
    <w:uiPriority w:val="6"/>
    <w:qFormat/>
    <w:rsid w:val="00584D60"/>
    <w:pPr>
      <w:numPr>
        <w:numId w:val="8"/>
      </w:numPr>
      <w:spacing w:line="360" w:lineRule="auto"/>
    </w:pPr>
    <w:rPr>
      <w:rFonts w:ascii="PT Sans" w:eastAsia="Times New Roman" w:hAnsi="PT Sans"/>
      <w:szCs w:val="20"/>
      <w:lang w:eastAsia="it-IT"/>
    </w:rPr>
  </w:style>
  <w:style w:type="paragraph" w:customStyle="1" w:styleId="sottopuntielenco-">
    <w:name w:val="sottopunti elenco -"/>
    <w:basedOn w:val="Normale"/>
    <w:rsid w:val="00584D60"/>
    <w:pPr>
      <w:numPr>
        <w:ilvl w:val="1"/>
        <w:numId w:val="9"/>
      </w:numPr>
      <w:shd w:val="clear" w:color="auto" w:fill="FFFFFF"/>
      <w:spacing w:line="320" w:lineRule="exact"/>
    </w:pPr>
    <w:rPr>
      <w:rFonts w:ascii="PT Sans" w:eastAsia="Times New Roman" w:hAnsi="PT Sans" w:cs="Arial"/>
      <w:lang w:eastAsia="it-IT"/>
    </w:rPr>
  </w:style>
  <w:style w:type="paragraph" w:customStyle="1" w:styleId="puntoelenco">
    <w:name w:val="punto elenco"/>
    <w:rsid w:val="00584D60"/>
    <w:pPr>
      <w:tabs>
        <w:tab w:val="num" w:pos="227"/>
      </w:tabs>
      <w:spacing w:after="0" w:line="320" w:lineRule="exact"/>
      <w:ind w:left="227" w:hanging="227"/>
      <w:jc w:val="both"/>
    </w:pPr>
    <w:rPr>
      <w:rFonts w:ascii="PT Sans" w:eastAsia="Times New Roman" w:hAnsi="PT Sans" w:cs="Arial"/>
      <w:sz w:val="22"/>
      <w:szCs w:val="22"/>
      <w:lang w:eastAsia="it-IT"/>
    </w:rPr>
  </w:style>
  <w:style w:type="character" w:styleId="Enfasigrassetto">
    <w:name w:val="Strong"/>
    <w:basedOn w:val="Carpredefinitoparagrafo"/>
    <w:uiPriority w:val="22"/>
    <w:qFormat/>
    <w:rsid w:val="00FF7203"/>
    <w:rPr>
      <w:b/>
      <w:bCs/>
    </w:rPr>
  </w:style>
  <w:style w:type="paragraph" w:customStyle="1" w:styleId="abstractarticoli">
    <w:name w:val="abstract  (articoli)"/>
    <w:basedOn w:val="Normale"/>
    <w:rsid w:val="00F00A31"/>
    <w:pPr>
      <w:widowControl w:val="0"/>
      <w:suppressAutoHyphens/>
      <w:autoSpaceDE w:val="0"/>
      <w:autoSpaceDN w:val="0"/>
      <w:adjustRightInd w:val="0"/>
      <w:ind w:left="0"/>
    </w:pPr>
    <w:rPr>
      <w:rFonts w:ascii="PT Sans" w:eastAsia="Times New Roman" w:hAnsi="PT Sans" w:cs="InfoTextOT-Italic"/>
      <w:i/>
      <w:iCs/>
      <w:color w:val="000000"/>
      <w:sz w:val="26"/>
      <w:szCs w:val="26"/>
      <w:lang w:eastAsia="it-IT"/>
    </w:rPr>
  </w:style>
  <w:style w:type="paragraph" w:customStyle="1" w:styleId="Normale1">
    <w:name w:val="Normale1"/>
    <w:rsid w:val="00B20216"/>
    <w:pPr>
      <w:spacing w:after="0" w:line="320" w:lineRule="exact"/>
    </w:pPr>
    <w:rPr>
      <w:rFonts w:ascii="PT Sans" w:eastAsia="ヒラギノ角ゴ Pro W3" w:hAnsi="PT Sans" w:cs="Times New Roman"/>
      <w:color w:val="000000"/>
      <w:szCs w:val="20"/>
      <w:lang w:eastAsia="it-IT"/>
    </w:rPr>
  </w:style>
  <w:style w:type="paragraph" w:styleId="Paragrafoelenco">
    <w:name w:val="List Paragraph"/>
    <w:basedOn w:val="Normale"/>
    <w:uiPriority w:val="34"/>
    <w:qFormat/>
    <w:rsid w:val="00AE14F2"/>
    <w:pPr>
      <w:ind w:left="720"/>
      <w:contextualSpacing/>
    </w:pPr>
  </w:style>
  <w:style w:type="paragraph" w:customStyle="1" w:styleId="isselectedend">
    <w:name w:val="isselectedend"/>
    <w:basedOn w:val="Normale"/>
    <w:rsid w:val="00256ECC"/>
    <w:pPr>
      <w:spacing w:before="100" w:beforeAutospacing="1" w:after="100" w:afterAutospacing="1"/>
      <w:ind w:left="0"/>
      <w:jc w:val="left"/>
    </w:pPr>
    <w:rPr>
      <w:rFonts w:ascii="Times New Roman" w:eastAsia="Times New Roman" w:hAnsi="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7978">
      <w:bodyDiv w:val="1"/>
      <w:marLeft w:val="0"/>
      <w:marRight w:val="0"/>
      <w:marTop w:val="0"/>
      <w:marBottom w:val="0"/>
      <w:divBdr>
        <w:top w:val="none" w:sz="0" w:space="0" w:color="auto"/>
        <w:left w:val="none" w:sz="0" w:space="0" w:color="auto"/>
        <w:bottom w:val="none" w:sz="0" w:space="0" w:color="auto"/>
        <w:right w:val="none" w:sz="0" w:space="0" w:color="auto"/>
      </w:divBdr>
    </w:div>
    <w:div w:id="136144652">
      <w:bodyDiv w:val="1"/>
      <w:marLeft w:val="0"/>
      <w:marRight w:val="0"/>
      <w:marTop w:val="0"/>
      <w:marBottom w:val="0"/>
      <w:divBdr>
        <w:top w:val="none" w:sz="0" w:space="0" w:color="auto"/>
        <w:left w:val="none" w:sz="0" w:space="0" w:color="auto"/>
        <w:bottom w:val="none" w:sz="0" w:space="0" w:color="auto"/>
        <w:right w:val="none" w:sz="0" w:space="0" w:color="auto"/>
      </w:divBdr>
    </w:div>
    <w:div w:id="204685517">
      <w:bodyDiv w:val="1"/>
      <w:marLeft w:val="0"/>
      <w:marRight w:val="0"/>
      <w:marTop w:val="0"/>
      <w:marBottom w:val="0"/>
      <w:divBdr>
        <w:top w:val="none" w:sz="0" w:space="0" w:color="auto"/>
        <w:left w:val="none" w:sz="0" w:space="0" w:color="auto"/>
        <w:bottom w:val="none" w:sz="0" w:space="0" w:color="auto"/>
        <w:right w:val="none" w:sz="0" w:space="0" w:color="auto"/>
      </w:divBdr>
      <w:divsChild>
        <w:div w:id="394157852">
          <w:marLeft w:val="0"/>
          <w:marRight w:val="0"/>
          <w:marTop w:val="0"/>
          <w:marBottom w:val="300"/>
          <w:divBdr>
            <w:top w:val="none" w:sz="0" w:space="0" w:color="auto"/>
            <w:left w:val="none" w:sz="0" w:space="0" w:color="auto"/>
            <w:bottom w:val="none" w:sz="0" w:space="0" w:color="auto"/>
            <w:right w:val="none" w:sz="0" w:space="0" w:color="auto"/>
          </w:divBdr>
        </w:div>
        <w:div w:id="1190291153">
          <w:marLeft w:val="0"/>
          <w:marRight w:val="0"/>
          <w:marTop w:val="0"/>
          <w:marBottom w:val="300"/>
          <w:divBdr>
            <w:top w:val="none" w:sz="0" w:space="0" w:color="auto"/>
            <w:left w:val="none" w:sz="0" w:space="0" w:color="auto"/>
            <w:bottom w:val="none" w:sz="0" w:space="0" w:color="auto"/>
            <w:right w:val="none" w:sz="0" w:space="0" w:color="auto"/>
          </w:divBdr>
        </w:div>
        <w:div w:id="198011214">
          <w:marLeft w:val="0"/>
          <w:marRight w:val="0"/>
          <w:marTop w:val="0"/>
          <w:marBottom w:val="300"/>
          <w:divBdr>
            <w:top w:val="none" w:sz="0" w:space="0" w:color="auto"/>
            <w:left w:val="none" w:sz="0" w:space="0" w:color="auto"/>
            <w:bottom w:val="none" w:sz="0" w:space="0" w:color="auto"/>
            <w:right w:val="none" w:sz="0" w:space="0" w:color="auto"/>
          </w:divBdr>
        </w:div>
        <w:div w:id="2030984360">
          <w:marLeft w:val="0"/>
          <w:marRight w:val="0"/>
          <w:marTop w:val="0"/>
          <w:marBottom w:val="300"/>
          <w:divBdr>
            <w:top w:val="none" w:sz="0" w:space="0" w:color="auto"/>
            <w:left w:val="none" w:sz="0" w:space="0" w:color="auto"/>
            <w:bottom w:val="none" w:sz="0" w:space="0" w:color="auto"/>
            <w:right w:val="none" w:sz="0" w:space="0" w:color="auto"/>
          </w:divBdr>
        </w:div>
        <w:div w:id="1234973993">
          <w:marLeft w:val="0"/>
          <w:marRight w:val="0"/>
          <w:marTop w:val="0"/>
          <w:marBottom w:val="300"/>
          <w:divBdr>
            <w:top w:val="none" w:sz="0" w:space="0" w:color="auto"/>
            <w:left w:val="none" w:sz="0" w:space="0" w:color="auto"/>
            <w:bottom w:val="none" w:sz="0" w:space="0" w:color="auto"/>
            <w:right w:val="none" w:sz="0" w:space="0" w:color="auto"/>
          </w:divBdr>
        </w:div>
      </w:divsChild>
    </w:div>
    <w:div w:id="230043774">
      <w:bodyDiv w:val="1"/>
      <w:marLeft w:val="0"/>
      <w:marRight w:val="0"/>
      <w:marTop w:val="0"/>
      <w:marBottom w:val="0"/>
      <w:divBdr>
        <w:top w:val="none" w:sz="0" w:space="0" w:color="auto"/>
        <w:left w:val="none" w:sz="0" w:space="0" w:color="auto"/>
        <w:bottom w:val="none" w:sz="0" w:space="0" w:color="auto"/>
        <w:right w:val="none" w:sz="0" w:space="0" w:color="auto"/>
      </w:divBdr>
      <w:divsChild>
        <w:div w:id="925455772">
          <w:marLeft w:val="0"/>
          <w:marRight w:val="0"/>
          <w:marTop w:val="0"/>
          <w:marBottom w:val="75"/>
          <w:divBdr>
            <w:top w:val="none" w:sz="0" w:space="0" w:color="auto"/>
            <w:left w:val="none" w:sz="0" w:space="0" w:color="auto"/>
            <w:bottom w:val="none" w:sz="0" w:space="0" w:color="auto"/>
            <w:right w:val="none" w:sz="0" w:space="0" w:color="auto"/>
          </w:divBdr>
        </w:div>
        <w:div w:id="1797020191">
          <w:marLeft w:val="0"/>
          <w:marRight w:val="0"/>
          <w:marTop w:val="0"/>
          <w:marBottom w:val="75"/>
          <w:divBdr>
            <w:top w:val="none" w:sz="0" w:space="0" w:color="auto"/>
            <w:left w:val="none" w:sz="0" w:space="0" w:color="auto"/>
            <w:bottom w:val="none" w:sz="0" w:space="0" w:color="auto"/>
            <w:right w:val="none" w:sz="0" w:space="0" w:color="auto"/>
          </w:divBdr>
        </w:div>
        <w:div w:id="1729302729">
          <w:marLeft w:val="0"/>
          <w:marRight w:val="0"/>
          <w:marTop w:val="0"/>
          <w:marBottom w:val="75"/>
          <w:divBdr>
            <w:top w:val="none" w:sz="0" w:space="0" w:color="auto"/>
            <w:left w:val="none" w:sz="0" w:space="0" w:color="auto"/>
            <w:bottom w:val="none" w:sz="0" w:space="0" w:color="auto"/>
            <w:right w:val="none" w:sz="0" w:space="0" w:color="auto"/>
          </w:divBdr>
        </w:div>
        <w:div w:id="2032871197">
          <w:marLeft w:val="0"/>
          <w:marRight w:val="0"/>
          <w:marTop w:val="0"/>
          <w:marBottom w:val="75"/>
          <w:divBdr>
            <w:top w:val="none" w:sz="0" w:space="0" w:color="auto"/>
            <w:left w:val="none" w:sz="0" w:space="0" w:color="auto"/>
            <w:bottom w:val="none" w:sz="0" w:space="0" w:color="auto"/>
            <w:right w:val="none" w:sz="0" w:space="0" w:color="auto"/>
          </w:divBdr>
        </w:div>
      </w:divsChild>
    </w:div>
    <w:div w:id="306205820">
      <w:bodyDiv w:val="1"/>
      <w:marLeft w:val="0"/>
      <w:marRight w:val="0"/>
      <w:marTop w:val="0"/>
      <w:marBottom w:val="0"/>
      <w:divBdr>
        <w:top w:val="none" w:sz="0" w:space="0" w:color="auto"/>
        <w:left w:val="none" w:sz="0" w:space="0" w:color="auto"/>
        <w:bottom w:val="none" w:sz="0" w:space="0" w:color="auto"/>
        <w:right w:val="none" w:sz="0" w:space="0" w:color="auto"/>
      </w:divBdr>
    </w:div>
    <w:div w:id="447315867">
      <w:bodyDiv w:val="1"/>
      <w:marLeft w:val="0"/>
      <w:marRight w:val="0"/>
      <w:marTop w:val="0"/>
      <w:marBottom w:val="0"/>
      <w:divBdr>
        <w:top w:val="none" w:sz="0" w:space="0" w:color="auto"/>
        <w:left w:val="none" w:sz="0" w:space="0" w:color="auto"/>
        <w:bottom w:val="none" w:sz="0" w:space="0" w:color="auto"/>
        <w:right w:val="none" w:sz="0" w:space="0" w:color="auto"/>
      </w:divBdr>
    </w:div>
    <w:div w:id="685711878">
      <w:bodyDiv w:val="1"/>
      <w:marLeft w:val="0"/>
      <w:marRight w:val="0"/>
      <w:marTop w:val="0"/>
      <w:marBottom w:val="0"/>
      <w:divBdr>
        <w:top w:val="none" w:sz="0" w:space="0" w:color="auto"/>
        <w:left w:val="none" w:sz="0" w:space="0" w:color="auto"/>
        <w:bottom w:val="none" w:sz="0" w:space="0" w:color="auto"/>
        <w:right w:val="none" w:sz="0" w:space="0" w:color="auto"/>
      </w:divBdr>
    </w:div>
    <w:div w:id="936598328">
      <w:bodyDiv w:val="1"/>
      <w:marLeft w:val="0"/>
      <w:marRight w:val="0"/>
      <w:marTop w:val="0"/>
      <w:marBottom w:val="0"/>
      <w:divBdr>
        <w:top w:val="none" w:sz="0" w:space="0" w:color="auto"/>
        <w:left w:val="none" w:sz="0" w:space="0" w:color="auto"/>
        <w:bottom w:val="none" w:sz="0" w:space="0" w:color="auto"/>
        <w:right w:val="none" w:sz="0" w:space="0" w:color="auto"/>
      </w:divBdr>
      <w:divsChild>
        <w:div w:id="1207062535">
          <w:marLeft w:val="0"/>
          <w:marRight w:val="0"/>
          <w:marTop w:val="0"/>
          <w:marBottom w:val="0"/>
          <w:divBdr>
            <w:top w:val="none" w:sz="0" w:space="0" w:color="auto"/>
            <w:left w:val="none" w:sz="0" w:space="0" w:color="auto"/>
            <w:bottom w:val="none" w:sz="0" w:space="0" w:color="auto"/>
            <w:right w:val="none" w:sz="0" w:space="0" w:color="auto"/>
          </w:divBdr>
        </w:div>
      </w:divsChild>
    </w:div>
    <w:div w:id="947152424">
      <w:bodyDiv w:val="1"/>
      <w:marLeft w:val="0"/>
      <w:marRight w:val="0"/>
      <w:marTop w:val="0"/>
      <w:marBottom w:val="0"/>
      <w:divBdr>
        <w:top w:val="none" w:sz="0" w:space="0" w:color="auto"/>
        <w:left w:val="none" w:sz="0" w:space="0" w:color="auto"/>
        <w:bottom w:val="none" w:sz="0" w:space="0" w:color="auto"/>
        <w:right w:val="none" w:sz="0" w:space="0" w:color="auto"/>
      </w:divBdr>
      <w:divsChild>
        <w:div w:id="1644432389">
          <w:marLeft w:val="0"/>
          <w:marRight w:val="0"/>
          <w:marTop w:val="0"/>
          <w:marBottom w:val="75"/>
          <w:divBdr>
            <w:top w:val="none" w:sz="0" w:space="0" w:color="auto"/>
            <w:left w:val="none" w:sz="0" w:space="0" w:color="auto"/>
            <w:bottom w:val="none" w:sz="0" w:space="0" w:color="auto"/>
            <w:right w:val="none" w:sz="0" w:space="0" w:color="auto"/>
          </w:divBdr>
        </w:div>
      </w:divsChild>
    </w:div>
    <w:div w:id="1034385680">
      <w:bodyDiv w:val="1"/>
      <w:marLeft w:val="0"/>
      <w:marRight w:val="0"/>
      <w:marTop w:val="0"/>
      <w:marBottom w:val="0"/>
      <w:divBdr>
        <w:top w:val="none" w:sz="0" w:space="0" w:color="auto"/>
        <w:left w:val="none" w:sz="0" w:space="0" w:color="auto"/>
        <w:bottom w:val="none" w:sz="0" w:space="0" w:color="auto"/>
        <w:right w:val="none" w:sz="0" w:space="0" w:color="auto"/>
      </w:divBdr>
      <w:divsChild>
        <w:div w:id="1504667039">
          <w:marLeft w:val="0"/>
          <w:marRight w:val="0"/>
          <w:marTop w:val="0"/>
          <w:marBottom w:val="75"/>
          <w:divBdr>
            <w:top w:val="none" w:sz="0" w:space="0" w:color="auto"/>
            <w:left w:val="none" w:sz="0" w:space="0" w:color="auto"/>
            <w:bottom w:val="none" w:sz="0" w:space="0" w:color="auto"/>
            <w:right w:val="none" w:sz="0" w:space="0" w:color="auto"/>
          </w:divBdr>
        </w:div>
      </w:divsChild>
    </w:div>
    <w:div w:id="1050765598">
      <w:bodyDiv w:val="1"/>
      <w:marLeft w:val="0"/>
      <w:marRight w:val="0"/>
      <w:marTop w:val="0"/>
      <w:marBottom w:val="0"/>
      <w:divBdr>
        <w:top w:val="none" w:sz="0" w:space="0" w:color="auto"/>
        <w:left w:val="none" w:sz="0" w:space="0" w:color="auto"/>
        <w:bottom w:val="none" w:sz="0" w:space="0" w:color="auto"/>
        <w:right w:val="none" w:sz="0" w:space="0" w:color="auto"/>
      </w:divBdr>
      <w:divsChild>
        <w:div w:id="1278487557">
          <w:marLeft w:val="0"/>
          <w:marRight w:val="0"/>
          <w:marTop w:val="0"/>
          <w:marBottom w:val="75"/>
          <w:divBdr>
            <w:top w:val="none" w:sz="0" w:space="0" w:color="auto"/>
            <w:left w:val="none" w:sz="0" w:space="0" w:color="auto"/>
            <w:bottom w:val="none" w:sz="0" w:space="0" w:color="auto"/>
            <w:right w:val="none" w:sz="0" w:space="0" w:color="auto"/>
          </w:divBdr>
        </w:div>
      </w:divsChild>
    </w:div>
    <w:div w:id="1075125726">
      <w:bodyDiv w:val="1"/>
      <w:marLeft w:val="0"/>
      <w:marRight w:val="0"/>
      <w:marTop w:val="0"/>
      <w:marBottom w:val="0"/>
      <w:divBdr>
        <w:top w:val="none" w:sz="0" w:space="0" w:color="auto"/>
        <w:left w:val="none" w:sz="0" w:space="0" w:color="auto"/>
        <w:bottom w:val="none" w:sz="0" w:space="0" w:color="auto"/>
        <w:right w:val="none" w:sz="0" w:space="0" w:color="auto"/>
      </w:divBdr>
      <w:divsChild>
        <w:div w:id="306472445">
          <w:marLeft w:val="0"/>
          <w:marRight w:val="0"/>
          <w:marTop w:val="0"/>
          <w:marBottom w:val="0"/>
          <w:divBdr>
            <w:top w:val="none" w:sz="0" w:space="0" w:color="auto"/>
            <w:left w:val="none" w:sz="0" w:space="0" w:color="auto"/>
            <w:bottom w:val="none" w:sz="0" w:space="0" w:color="auto"/>
            <w:right w:val="none" w:sz="0" w:space="0" w:color="auto"/>
          </w:divBdr>
        </w:div>
      </w:divsChild>
    </w:div>
    <w:div w:id="1136872241">
      <w:bodyDiv w:val="1"/>
      <w:marLeft w:val="0"/>
      <w:marRight w:val="0"/>
      <w:marTop w:val="0"/>
      <w:marBottom w:val="0"/>
      <w:divBdr>
        <w:top w:val="none" w:sz="0" w:space="0" w:color="auto"/>
        <w:left w:val="none" w:sz="0" w:space="0" w:color="auto"/>
        <w:bottom w:val="none" w:sz="0" w:space="0" w:color="auto"/>
        <w:right w:val="none" w:sz="0" w:space="0" w:color="auto"/>
      </w:divBdr>
      <w:divsChild>
        <w:div w:id="754673365">
          <w:marLeft w:val="0"/>
          <w:marRight w:val="0"/>
          <w:marTop w:val="0"/>
          <w:marBottom w:val="75"/>
          <w:divBdr>
            <w:top w:val="none" w:sz="0" w:space="0" w:color="auto"/>
            <w:left w:val="none" w:sz="0" w:space="0" w:color="auto"/>
            <w:bottom w:val="none" w:sz="0" w:space="0" w:color="auto"/>
            <w:right w:val="none" w:sz="0" w:space="0" w:color="auto"/>
          </w:divBdr>
        </w:div>
      </w:divsChild>
    </w:div>
    <w:div w:id="1141072098">
      <w:bodyDiv w:val="1"/>
      <w:marLeft w:val="0"/>
      <w:marRight w:val="0"/>
      <w:marTop w:val="0"/>
      <w:marBottom w:val="0"/>
      <w:divBdr>
        <w:top w:val="none" w:sz="0" w:space="0" w:color="auto"/>
        <w:left w:val="none" w:sz="0" w:space="0" w:color="auto"/>
        <w:bottom w:val="none" w:sz="0" w:space="0" w:color="auto"/>
        <w:right w:val="none" w:sz="0" w:space="0" w:color="auto"/>
      </w:divBdr>
    </w:div>
    <w:div w:id="1143039469">
      <w:bodyDiv w:val="1"/>
      <w:marLeft w:val="0"/>
      <w:marRight w:val="0"/>
      <w:marTop w:val="0"/>
      <w:marBottom w:val="0"/>
      <w:divBdr>
        <w:top w:val="none" w:sz="0" w:space="0" w:color="auto"/>
        <w:left w:val="none" w:sz="0" w:space="0" w:color="auto"/>
        <w:bottom w:val="none" w:sz="0" w:space="0" w:color="auto"/>
        <w:right w:val="none" w:sz="0" w:space="0" w:color="auto"/>
      </w:divBdr>
    </w:div>
    <w:div w:id="1275404514">
      <w:bodyDiv w:val="1"/>
      <w:marLeft w:val="0"/>
      <w:marRight w:val="0"/>
      <w:marTop w:val="0"/>
      <w:marBottom w:val="0"/>
      <w:divBdr>
        <w:top w:val="none" w:sz="0" w:space="0" w:color="auto"/>
        <w:left w:val="none" w:sz="0" w:space="0" w:color="auto"/>
        <w:bottom w:val="none" w:sz="0" w:space="0" w:color="auto"/>
        <w:right w:val="none" w:sz="0" w:space="0" w:color="auto"/>
      </w:divBdr>
    </w:div>
    <w:div w:id="1834879510">
      <w:bodyDiv w:val="1"/>
      <w:marLeft w:val="0"/>
      <w:marRight w:val="0"/>
      <w:marTop w:val="0"/>
      <w:marBottom w:val="0"/>
      <w:divBdr>
        <w:top w:val="none" w:sz="0" w:space="0" w:color="auto"/>
        <w:left w:val="none" w:sz="0" w:space="0" w:color="auto"/>
        <w:bottom w:val="none" w:sz="0" w:space="0" w:color="auto"/>
        <w:right w:val="none" w:sz="0" w:space="0" w:color="auto"/>
      </w:divBdr>
    </w:div>
    <w:div w:id="1863737755">
      <w:bodyDiv w:val="1"/>
      <w:marLeft w:val="0"/>
      <w:marRight w:val="0"/>
      <w:marTop w:val="0"/>
      <w:marBottom w:val="0"/>
      <w:divBdr>
        <w:top w:val="none" w:sz="0" w:space="0" w:color="auto"/>
        <w:left w:val="none" w:sz="0" w:space="0" w:color="auto"/>
        <w:bottom w:val="none" w:sz="0" w:space="0" w:color="auto"/>
        <w:right w:val="none" w:sz="0" w:space="0" w:color="auto"/>
      </w:divBdr>
    </w:div>
    <w:div w:id="1985817681">
      <w:bodyDiv w:val="1"/>
      <w:marLeft w:val="0"/>
      <w:marRight w:val="0"/>
      <w:marTop w:val="0"/>
      <w:marBottom w:val="0"/>
      <w:divBdr>
        <w:top w:val="none" w:sz="0" w:space="0" w:color="auto"/>
        <w:left w:val="none" w:sz="0" w:space="0" w:color="auto"/>
        <w:bottom w:val="none" w:sz="0" w:space="0" w:color="auto"/>
        <w:right w:val="none" w:sz="0" w:space="0" w:color="auto"/>
      </w:divBdr>
      <w:divsChild>
        <w:div w:id="1304386179">
          <w:marLeft w:val="0"/>
          <w:marRight w:val="0"/>
          <w:marTop w:val="0"/>
          <w:marBottom w:val="75"/>
          <w:divBdr>
            <w:top w:val="none" w:sz="0" w:space="0" w:color="auto"/>
            <w:left w:val="none" w:sz="0" w:space="0" w:color="auto"/>
            <w:bottom w:val="none" w:sz="0" w:space="0" w:color="auto"/>
            <w:right w:val="none" w:sz="0" w:space="0" w:color="auto"/>
          </w:divBdr>
        </w:div>
      </w:divsChild>
    </w:div>
    <w:div w:id="2139952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3fdf7b-e0eb-4db5-8499-d2380c229cb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FCB30F056F4345A0844739C6D35E15" ma:contentTypeVersion="14" ma:contentTypeDescription="Create a new document." ma:contentTypeScope="" ma:versionID="7bec546c5b1fb4546f9dc005b557de01">
  <xsd:schema xmlns:xsd="http://www.w3.org/2001/XMLSchema" xmlns:xs="http://www.w3.org/2001/XMLSchema" xmlns:p="http://schemas.microsoft.com/office/2006/metadata/properties" xmlns:ns2="823fdf7b-e0eb-4db5-8499-d2380c229cb1" xmlns:ns3="c98d467d-1f38-4a35-a4fd-b003e6be3404" targetNamespace="http://schemas.microsoft.com/office/2006/metadata/properties" ma:root="true" ma:fieldsID="f7caf9191a22df1dc37d9e11ebcbba5f" ns2:_="" ns3:_="">
    <xsd:import namespace="823fdf7b-e0eb-4db5-8499-d2380c229cb1"/>
    <xsd:import namespace="c98d467d-1f38-4a35-a4fd-b003e6be34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fdf7b-e0eb-4db5-8499-d2380c229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76eaef-0544-466b-9432-2b350550ee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8d467d-1f38-4a35-a4fd-b003e6be34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2683F6-3BB5-48A7-919A-6B9FEB850887}">
  <ds:schemaRefs>
    <ds:schemaRef ds:uri="http://schemas.openxmlformats.org/officeDocument/2006/bibliography"/>
  </ds:schemaRefs>
</ds:datastoreItem>
</file>

<file path=customXml/itemProps2.xml><?xml version="1.0" encoding="utf-8"?>
<ds:datastoreItem xmlns:ds="http://schemas.openxmlformats.org/officeDocument/2006/customXml" ds:itemID="{65C140C4-A855-4F31-9B7D-A06DFDC5B3AE}">
  <ds:schemaRefs>
    <ds:schemaRef ds:uri="http://schemas.microsoft.com/sharepoint/v3/contenttype/forms"/>
  </ds:schemaRefs>
</ds:datastoreItem>
</file>

<file path=customXml/itemProps3.xml><?xml version="1.0" encoding="utf-8"?>
<ds:datastoreItem xmlns:ds="http://schemas.openxmlformats.org/officeDocument/2006/customXml" ds:itemID="{1E882A8F-ECCB-43F9-B888-F348950A5392}">
  <ds:schemaRefs>
    <ds:schemaRef ds:uri="http://schemas.microsoft.com/office/2006/metadata/properties"/>
    <ds:schemaRef ds:uri="http://schemas.microsoft.com/office/infopath/2007/PartnerControls"/>
    <ds:schemaRef ds:uri="823fdf7b-e0eb-4db5-8499-d2380c229cb1"/>
  </ds:schemaRefs>
</ds:datastoreItem>
</file>

<file path=customXml/itemProps4.xml><?xml version="1.0" encoding="utf-8"?>
<ds:datastoreItem xmlns:ds="http://schemas.openxmlformats.org/officeDocument/2006/customXml" ds:itemID="{D2A2876F-459B-4D98-B1DE-2FB88B031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fdf7b-e0eb-4db5-8499-d2380c229cb1"/>
    <ds:schemaRef ds:uri="c98d467d-1f38-4a35-a4fd-b003e6be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2202</Words>
  <Characters>12553</Characters>
  <Application>Microsoft Office Word</Application>
  <DocSecurity>8</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dc:creator>
  <cp:keywords/>
  <dc:description/>
  <cp:lastModifiedBy>Alessandra - Studio Dafe</cp:lastModifiedBy>
  <cp:revision>88</cp:revision>
  <cp:lastPrinted>2025-11-03T10:28:00Z</cp:lastPrinted>
  <dcterms:created xsi:type="dcterms:W3CDTF">2026-04-17T15:22:00Z</dcterms:created>
  <dcterms:modified xsi:type="dcterms:W3CDTF">2026-06-01T16:13:00Z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0x010100DAFCB30F056F4345A0844739C6D35E15</vt:lpwstr>
  </property>
  <property fmtid="{D5CDD505-2E9C-101B-9397-08002B2CF9AE}" pid="3" name="MediaServiceImageTags">
    <vt:lpwstr/>
  </property>
</Properties>
</file>